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潜江市南门河片区排水防涝工程总承包钢筋混凝土管材料采购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潜江市南门河片区排水防涝工程总承包钢筋混凝土管材料采购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2026030037</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项目编号：HBHB-2026-200</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b w:val="0"/>
          <w:bCs/>
          <w:color w:val="auto"/>
          <w:sz w:val="28"/>
          <w:szCs w:val="28"/>
          <w:lang w:val="en-US" w:eastAsia="zh-CN"/>
        </w:rPr>
        <w:t>潜江市南门河片区排水防涝工程总承包钢筋混凝土管材料采购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81.3</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20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20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bookmarkStart w:id="0" w:name="_GoBack"/>
      <w:bookmarkEnd w:id="0"/>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2026年4月13日</w:t>
      </w:r>
    </w:p>
    <w:p w14:paraId="7C5C528B">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88"/>
        <w:gridCol w:w="1437"/>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p>
        </w:tc>
        <w:tc>
          <w:tcPr>
            <w:tcW w:w="1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954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61.2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2896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80.6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806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102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870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133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5</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468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C8D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DA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6</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6BF99E9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6D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D9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AD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85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0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7B1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84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7</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377244B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E7E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E1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0FCF">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8C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545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3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05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C2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2D51B58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钢筋混凝土承插管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EB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3E0">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648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114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A1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847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95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75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CBF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86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9</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69B1B74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CA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15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108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842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66C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51.5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BB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04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A50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F7F">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10</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6CF799B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8AF">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729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00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62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3B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69.4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0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E6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D07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BB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11</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3D23D33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2EF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1F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43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838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A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1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877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4CB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12</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38F935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56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5D1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A1D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F2C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89.8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6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A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E3C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8B1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13</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1F9E16C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842">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76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D42">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AF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179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B9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0A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075">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14</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BEA53AB">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C8B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2B3">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298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B45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275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6E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2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59C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73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15</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F7F072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CAF2">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50C">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24C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B97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367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2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25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E42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29B2">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16</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347CF6A">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钢筋混凝土平口管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817">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DN1500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7B9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65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08E">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852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B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2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5BB2A52">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C217E"/>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3231</Words>
  <Characters>3625</Characters>
  <Lines>0</Lines>
  <Paragraphs>0</Paragraphs>
  <TotalTime>0</TotalTime>
  <ScaleCrop>false</ScaleCrop>
  <LinksUpToDate>false</LinksUpToDate>
  <CharactersWithSpaces>4365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2026-04-15T02:29:09Z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eyJoZGlkIjoiMTQyYjVjNzliMTk3OGQ1MjE0OTMwMWU2MmY3NzIwYWQiLCJ1c2VySWQiOiIyMjgzNDYxMzIifQ==</vt:lpwstr>
  </property>
</Properties>
</file>