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D7E12">
      <w:pPr>
        <w:pStyle w:val="14"/>
        <w:jc w:val="center"/>
        <w:rPr>
          <w:rFonts w:hint="eastAsia"/>
          <w:b/>
          <w:sz w:val="36"/>
          <w:szCs w:val="32"/>
          <w:highlight w:val="none"/>
          <w:lang w:val="en-US" w:eastAsia="zh-CN"/>
        </w:rPr>
      </w:pPr>
      <w:r>
        <w:rPr>
          <w:rFonts w:hint="eastAsia"/>
          <w:b/>
          <w:sz w:val="36"/>
          <w:szCs w:val="32"/>
          <w:highlight w:val="none"/>
          <w:lang w:val="en-US" w:eastAsia="zh-CN"/>
        </w:rPr>
        <w:t>第7包第1期S95矿渣粉采购项目</w:t>
      </w:r>
    </w:p>
    <w:p w14:paraId="04988480">
      <w:pPr>
        <w:pStyle w:val="14"/>
        <w:jc w:val="center"/>
        <w:rPr>
          <w:rFonts w:hint="eastAsia" w:ascii="宋体" w:hAnsi="宋体" w:cs="宋体"/>
          <w:b/>
          <w:sz w:val="32"/>
          <w:szCs w:val="28"/>
          <w:highlight w:val="none"/>
          <w:lang w:eastAsia="zh-CN"/>
        </w:rPr>
      </w:pPr>
      <w:r>
        <w:rPr>
          <w:rFonts w:hint="eastAsia" w:ascii="宋体" w:hAnsi="Times New Roman" w:eastAsia="宋体" w:cs="Times New Roman"/>
          <w:b/>
          <w:sz w:val="36"/>
          <w:szCs w:val="32"/>
          <w:highlight w:val="none"/>
          <w:lang w:val="en-US" w:eastAsia="zh-CN"/>
        </w:rPr>
        <w:t>框架协议二次竞价公告</w:t>
      </w:r>
    </w:p>
    <w:p w14:paraId="18250F3B">
      <w:pPr>
        <w:pStyle w:val="14"/>
        <w:jc w:val="center"/>
        <w:rPr>
          <w:rFonts w:hint="eastAsia" w:ascii="宋体" w:hAnsi="宋体" w:cs="宋体"/>
          <w:b/>
          <w:sz w:val="32"/>
          <w:szCs w:val="28"/>
          <w:highlight w:val="none"/>
          <w:lang w:eastAsia="zh-CN"/>
        </w:rPr>
      </w:pPr>
    </w:p>
    <w:p w14:paraId="4717335B">
      <w:pPr>
        <w:pStyle w:val="14"/>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第7包段</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2025BE68">
      <w:pPr>
        <w:pStyle w:val="14"/>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第7包第1期S95矿渣粉采购项目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7B56A33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2024100013-3</w:t>
      </w:r>
      <w:r>
        <w:rPr>
          <w:rFonts w:hint="eastAsia"/>
          <w:b/>
          <w:sz w:val="28"/>
          <w:szCs w:val="28"/>
          <w:highlight w:val="none"/>
        </w:rPr>
        <w:t>）号</w:t>
      </w:r>
    </w:p>
    <w:p w14:paraId="3683E92C">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highlight w:val="none"/>
          <w:lang w:val="en-US" w:eastAsia="zh-CN"/>
        </w:rPr>
        <w:t>项目编号：HBHB-2024-435</w:t>
      </w:r>
    </w:p>
    <w:p w14:paraId="23B48DCE">
      <w:pPr>
        <w:pStyle w:val="14"/>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第7包第1期S95矿渣粉采购项目</w:t>
      </w:r>
    </w:p>
    <w:p w14:paraId="4FD7BDD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0D0DFA67">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单项最高限价（到场不含税）：</w:t>
      </w:r>
      <w:r>
        <w:rPr>
          <w:rFonts w:hint="eastAsia"/>
          <w:sz w:val="28"/>
          <w:szCs w:val="28"/>
          <w:u w:val="none"/>
          <w:lang w:val="en-US" w:eastAsia="zh-CN"/>
        </w:rPr>
        <w:t>S95矿渣粉</w:t>
      </w:r>
      <w:r>
        <w:rPr>
          <w:rFonts w:hint="eastAsia"/>
          <w:sz w:val="28"/>
          <w:szCs w:val="28"/>
          <w:lang w:val="en-US" w:eastAsia="zh-CN"/>
        </w:rPr>
        <w:t>：191.66元/吨</w:t>
      </w:r>
    </w:p>
    <w:p w14:paraId="4048BCB7">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采购内容：S95矿渣粉</w:t>
      </w:r>
      <w:r>
        <w:rPr>
          <w:rFonts w:hint="eastAsia"/>
          <w:sz w:val="28"/>
          <w:szCs w:val="28"/>
          <w:lang w:val="en-US" w:eastAsia="zh-CN"/>
        </w:rPr>
        <w:t>，报价单详见报价明细表。</w:t>
      </w:r>
    </w:p>
    <w:p w14:paraId="4E5FF400">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4"/>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供货期：签订合同之日起180日历天。</w:t>
      </w:r>
    </w:p>
    <w:p w14:paraId="3789B7F5">
      <w:pPr>
        <w:pStyle w:val="14"/>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供货地点：潜江市泽口街道办事处金澳大道2号（潜江道衢建材科技有限公司指定料仓）</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质量标准：GB/T 18046-2017《用于水泥和混凝土中粒化高炉矿渣粉》</w:t>
      </w:r>
    </w:p>
    <w:p w14:paraId="19445BE8">
      <w:pPr>
        <w:pStyle w:val="14"/>
        <w:numPr>
          <w:ilvl w:val="0"/>
          <w:numId w:val="2"/>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4"/>
        <w:numPr>
          <w:ilvl w:val="0"/>
          <w:numId w:val="3"/>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料款的支付方式：合同期限内必须完成垫资供货量，垫资金额在合同供应期结束满90天后进行支付；</w:t>
      </w:r>
    </w:p>
    <w:p w14:paraId="607AB0D3">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31035F5C">
      <w:pPr>
        <w:pStyle w:val="14"/>
        <w:numPr>
          <w:ilvl w:val="0"/>
          <w:numId w:val="2"/>
        </w:numPr>
        <w:spacing w:line="360" w:lineRule="auto"/>
        <w:ind w:left="0" w:leftChars="0" w:firstLine="567" w:firstLineChars="0"/>
        <w:rPr>
          <w:rFonts w:hint="default"/>
          <w:sz w:val="28"/>
          <w:szCs w:val="28"/>
          <w:lang w:val="en-US" w:eastAsia="zh-CN"/>
        </w:rPr>
      </w:pPr>
      <w:r>
        <w:rPr>
          <w:rFonts w:hint="eastAsia" w:ascii="宋体" w:hAnsi="Times New Roman" w:eastAsia="宋体" w:cs="Times New Roman"/>
          <w:sz w:val="28"/>
          <w:szCs w:val="28"/>
          <w:lang w:val="en-US" w:eastAsia="zh-CN"/>
        </w:rPr>
        <w:t>垫资金额：</w:t>
      </w:r>
      <w:r>
        <w:rPr>
          <w:rFonts w:hint="eastAsia" w:ascii="仿宋_GB2312" w:hAnsi="仿宋_GB2312" w:eastAsia="宋体" w:cs="仿宋_GB2312"/>
          <w:sz w:val="28"/>
          <w:szCs w:val="28"/>
          <w:highlight w:val="none"/>
          <w:lang w:val="en-US" w:eastAsia="zh-CN"/>
        </w:rPr>
        <w:t>垫付金额为合同签订金额的50%</w:t>
      </w:r>
      <w:r>
        <w:rPr>
          <w:rFonts w:hint="eastAsia" w:cs="Times New Roman"/>
          <w:sz w:val="28"/>
          <w:szCs w:val="28"/>
          <w:lang w:val="en-US" w:eastAsia="zh-CN"/>
        </w:rPr>
        <w:t>，供应量发生调整的以调整后合同金额计算垫付资金。</w:t>
      </w:r>
    </w:p>
    <w:p w14:paraId="04DDACF4">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履约保证金：履约保证金金额为垫支金额</w:t>
      </w:r>
      <w:r>
        <w:rPr>
          <w:rFonts w:hint="eastAsia" w:ascii="仿宋_GB2312" w:hAnsi="仿宋_GB2312" w:eastAsia="宋体" w:cs="仿宋_GB2312"/>
          <w:sz w:val="28"/>
          <w:szCs w:val="28"/>
          <w:highlight w:val="none"/>
          <w:lang w:val="en-US" w:eastAsia="zh-CN"/>
        </w:rPr>
        <w:t>的5%，供应商应在签订合同之日前，将履约保障金从供货商的基本账户汇</w:t>
      </w:r>
      <w:r>
        <w:rPr>
          <w:rFonts w:hint="eastAsia"/>
          <w:sz w:val="28"/>
          <w:szCs w:val="28"/>
          <w:lang w:val="en-US" w:eastAsia="zh-CN"/>
        </w:rPr>
        <w:t>至招标人指定的账户及账号。</w:t>
      </w:r>
    </w:p>
    <w:p w14:paraId="23804D33">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0F359BDB">
      <w:pPr>
        <w:pStyle w:val="14"/>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6B2C3CB6">
      <w:pPr>
        <w:pStyle w:val="14"/>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w:t>
      </w:r>
      <w:r>
        <w:rPr>
          <w:rFonts w:hint="eastAsia"/>
          <w:sz w:val="28"/>
          <w:szCs w:val="28"/>
          <w:lang w:eastAsia="zh-CN"/>
        </w:rPr>
        <w:t>（北京时间）</w:t>
      </w:r>
      <w:r>
        <w:rPr>
          <w:rFonts w:hint="eastAsia"/>
          <w:sz w:val="28"/>
          <w:szCs w:val="28"/>
        </w:rPr>
        <w:t>。</w:t>
      </w:r>
    </w:p>
    <w:p w14:paraId="2F7C01F3">
      <w:pPr>
        <w:pStyle w:val="14"/>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3FD09D58">
      <w:pPr>
        <w:pStyle w:val="14"/>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13EE20B6">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3C9A0997">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2、合同采购量的确定方式：</w:t>
      </w:r>
    </w:p>
    <w:p w14:paraId="3677324E">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1)报名竞价的单位少于两家:成交供应商只取1名，供应量按暂估量100%签订采购合同，报名竞价的单位仅有一家单位时，直接确定该单位为成交供应商;</w:t>
      </w:r>
    </w:p>
    <w:p w14:paraId="0BA12060">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2）报名竞价的单位仅有三家：成交供应商取前2名，第一名成交供应商按暂估量70%签订采购合同，第二名成交供应商按暂估量30%签订采购合同。</w:t>
      </w:r>
    </w:p>
    <w:p w14:paraId="2B2E345E">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3）报名竞价的单位大于三家：成交供应商取前3名，第一名成交供应商按暂估量60%签订采购合同，第二名成交供应商按暂估量30%签订采购合同，第三名成交供应商按暂估量10%签订采购合同。</w:t>
      </w:r>
    </w:p>
    <w:p w14:paraId="3F0FC49D">
      <w:pPr>
        <w:pStyle w:val="14"/>
        <w:spacing w:line="360" w:lineRule="auto"/>
        <w:ind w:firstLine="560" w:firstLineChars="200"/>
        <w:rPr>
          <w:rFonts w:hint="default" w:cs="Times New Roman"/>
          <w:sz w:val="28"/>
          <w:szCs w:val="28"/>
          <w:highlight w:val="none"/>
          <w:lang w:val="en-US" w:eastAsia="zh-CN"/>
        </w:rPr>
      </w:pPr>
      <w:r>
        <w:rPr>
          <w:rFonts w:hint="eastAsia" w:cs="Times New Roman"/>
          <w:sz w:val="28"/>
          <w:szCs w:val="28"/>
          <w:highlight w:val="none"/>
          <w:lang w:val="en-US" w:eastAsia="zh-CN"/>
        </w:rPr>
        <w:t>4）在具体执行合同过程中，采购人有权根据成交供应商的履约情况调整采购数量。</w:t>
      </w:r>
    </w:p>
    <w:p w14:paraId="0BA2535F">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4"/>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639ABCDC">
      <w:pPr>
        <w:pStyle w:val="14"/>
        <w:numPr>
          <w:ilvl w:val="0"/>
          <w:numId w:val="4"/>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成交供应商在领取成交通知书前向采购代理机构一次性支付2000元</w:t>
      </w:r>
      <w:r>
        <w:rPr>
          <w:rFonts w:hint="default"/>
          <w:sz w:val="28"/>
          <w:szCs w:val="28"/>
          <w:lang w:val="en-US" w:eastAsia="zh-CN"/>
        </w:rPr>
        <w:t>招标代理服务费。</w:t>
      </w:r>
    </w:p>
    <w:p w14:paraId="0931D682">
      <w:pPr>
        <w:pStyle w:val="14"/>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lang w:val="en-US" w:eastAsia="zh-CN"/>
        </w:rPr>
        <w:t>7包</w:t>
      </w:r>
      <w:r>
        <w:rPr>
          <w:rFonts w:hint="default"/>
          <w:sz w:val="28"/>
          <w:szCs w:val="28"/>
          <w:lang w:val="en-US" w:eastAsia="zh-CN"/>
        </w:rPr>
        <w:t>入围供应商。</w:t>
      </w:r>
    </w:p>
    <w:p w14:paraId="5E1E57EE">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554FFB82">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4977B3C4">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2024年12月19日</w:t>
      </w:r>
    </w:p>
    <w:p w14:paraId="09728E18">
      <w:p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F480D82">
      <w:pPr>
        <w:pStyle w:val="4"/>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0D12DE48">
      <w:pPr>
        <w:pStyle w:val="4"/>
        <w:keepNext w:val="0"/>
        <w:keepLines w:val="0"/>
        <w:widowControl/>
        <w:suppressLineNumbers w:val="0"/>
        <w:spacing w:line="360" w:lineRule="atLeast"/>
        <w:jc w:val="right"/>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w:t>
      </w:r>
      <w:r>
        <w:rPr>
          <w:rFonts w:hint="eastAsia" w:ascii="宋体" w:hAnsi="宋体" w:eastAsia="宋体" w:cs="宋体"/>
          <w:b/>
          <w:bCs/>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8"/>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35AE7492">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b/>
          <w:sz w:val="36"/>
          <w:szCs w:val="36"/>
          <w:lang w:val="en-US" w:eastAsia="zh-CN"/>
        </w:rPr>
      </w:pPr>
      <w:r>
        <w:rPr>
          <w:rFonts w:hint="eastAsia" w:ascii="宋体" w:hAnsi="宋体" w:eastAsia="宋体" w:cs="宋体"/>
          <w:b/>
          <w:bCs/>
          <w:sz w:val="28"/>
          <w:szCs w:val="28"/>
        </w:rPr>
        <w:br w:type="page"/>
      </w:r>
      <w:r>
        <w:rPr>
          <w:rFonts w:hint="eastAsia" w:ascii="宋体" w:hAnsi="宋体" w:eastAsia="宋体" w:cs="宋体"/>
          <w:b/>
          <w:bCs/>
          <w:sz w:val="32"/>
          <w:szCs w:val="32"/>
          <w:lang w:val="en-US" w:eastAsia="zh-CN"/>
        </w:rPr>
        <w:t>三、</w:t>
      </w:r>
      <w:r>
        <w:rPr>
          <w:rFonts w:hint="eastAsia"/>
          <w:b/>
          <w:sz w:val="36"/>
          <w:szCs w:val="36"/>
          <w:lang w:val="en-US" w:eastAsia="zh-CN"/>
        </w:rPr>
        <w:t>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0"/>
        <w:tblW w:w="8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338"/>
        <w:gridCol w:w="1287"/>
        <w:gridCol w:w="956"/>
        <w:gridCol w:w="1220"/>
        <w:gridCol w:w="1486"/>
        <w:gridCol w:w="1667"/>
      </w:tblGrid>
      <w:tr w14:paraId="725F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8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单价控制价</w:t>
            </w:r>
          </w:p>
          <w:p w14:paraId="443807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14:paraId="0B2B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矿物掺合料</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S95矿渣粉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20600</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191.66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FB5B3BF">
      <w:pPr>
        <w:rPr>
          <w:rFonts w:hint="default" w:ascii="宋体" w:hAnsi="宋体" w:eastAsia="宋体" w:cs="宋体"/>
          <w:b/>
          <w:bCs/>
          <w:sz w:val="28"/>
          <w:szCs w:val="28"/>
          <w:lang w:val="en-US" w:eastAsia="zh-CN"/>
        </w:rPr>
      </w:pPr>
      <w:r>
        <w:rPr>
          <w:rFonts w:hint="eastAsia" w:ascii="宋体" w:hAnsi="宋体" w:cs="宋体"/>
          <w:sz w:val="28"/>
          <w:szCs w:val="28"/>
        </w:rPr>
        <w:t xml:space="preserve"> </w:t>
      </w:r>
    </w:p>
    <w:p w14:paraId="426F94C9">
      <w:pPr>
        <w:jc w:val="center"/>
        <w:rPr>
          <w:rFonts w:hint="default" w:eastAsia="宋体"/>
          <w:sz w:val="32"/>
          <w:szCs w:val="32"/>
          <w:lang w:val="en-US" w:eastAsia="zh-CN"/>
        </w:rPr>
      </w:pPr>
      <w:r>
        <w:rPr>
          <w:rFonts w:hint="eastAsia"/>
          <w:sz w:val="32"/>
          <w:szCs w:val="32"/>
          <w:lang w:val="en-US" w:eastAsia="zh-CN"/>
        </w:rPr>
        <w:t>技术参数</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3B8CEF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065" w:type="dxa"/>
            <w:vMerge w:val="restart"/>
            <w:noWrap w:val="0"/>
            <w:vAlign w:val="center"/>
          </w:tcPr>
          <w:p w14:paraId="10A229F3">
            <w:pPr>
              <w:jc w:val="center"/>
              <w:rPr>
                <w:rFonts w:hint="eastAsia"/>
              </w:rPr>
            </w:pPr>
            <w:r>
              <w:rPr>
                <w:rFonts w:hint="eastAsia"/>
              </w:rPr>
              <w:t>项目</w:t>
            </w:r>
          </w:p>
        </w:tc>
        <w:tc>
          <w:tcPr>
            <w:tcW w:w="1065" w:type="dxa"/>
            <w:vMerge w:val="restart"/>
            <w:noWrap w:val="0"/>
            <w:vAlign w:val="center"/>
          </w:tcPr>
          <w:p w14:paraId="5158715C">
            <w:pPr>
              <w:jc w:val="center"/>
              <w:rPr>
                <w:rFonts w:hint="eastAsia"/>
              </w:rPr>
            </w:pPr>
            <w:r>
              <w:rPr>
                <w:rFonts w:hint="eastAsia"/>
              </w:rPr>
              <w:t>密度(g/cm</w:t>
            </w:r>
            <w:r>
              <w:rPr>
                <w:rFonts w:hint="eastAsia"/>
                <w:vertAlign w:val="superscript"/>
              </w:rPr>
              <w:t>3</w:t>
            </w:r>
            <w:r>
              <w:rPr>
                <w:rFonts w:hint="eastAsia"/>
              </w:rPr>
              <w:t>)</w:t>
            </w:r>
          </w:p>
        </w:tc>
        <w:tc>
          <w:tcPr>
            <w:tcW w:w="1065" w:type="dxa"/>
            <w:vMerge w:val="restart"/>
            <w:noWrap w:val="0"/>
            <w:vAlign w:val="center"/>
          </w:tcPr>
          <w:p w14:paraId="32440590">
            <w:pPr>
              <w:jc w:val="center"/>
              <w:rPr>
                <w:rFonts w:hint="eastAsia"/>
              </w:rPr>
            </w:pPr>
            <w:r>
              <w:rPr>
                <w:rFonts w:hint="eastAsia"/>
              </w:rPr>
              <w:t>比表面积(m</w:t>
            </w:r>
            <w:r>
              <w:rPr>
                <w:rFonts w:hint="eastAsia"/>
                <w:vertAlign w:val="superscript"/>
              </w:rPr>
              <w:t>2</w:t>
            </w:r>
            <w:r>
              <w:rPr>
                <w:rFonts w:hint="eastAsia"/>
              </w:rPr>
              <w:t>/kg)</w:t>
            </w:r>
          </w:p>
        </w:tc>
        <w:tc>
          <w:tcPr>
            <w:tcW w:w="1065" w:type="dxa"/>
            <w:vMerge w:val="restart"/>
            <w:noWrap w:val="0"/>
            <w:vAlign w:val="center"/>
          </w:tcPr>
          <w:p w14:paraId="55FE706C">
            <w:pPr>
              <w:jc w:val="center"/>
              <w:rPr>
                <w:rFonts w:hint="eastAsia"/>
              </w:rPr>
            </w:pPr>
            <w:r>
              <w:rPr>
                <w:rFonts w:hint="eastAsia"/>
              </w:rPr>
              <w:t>胶砂流动度比(%)</w:t>
            </w:r>
          </w:p>
        </w:tc>
        <w:tc>
          <w:tcPr>
            <w:tcW w:w="1065" w:type="dxa"/>
            <w:vMerge w:val="restart"/>
            <w:noWrap w:val="0"/>
            <w:vAlign w:val="center"/>
          </w:tcPr>
          <w:p w14:paraId="0E631307">
            <w:pPr>
              <w:jc w:val="center"/>
              <w:rPr>
                <w:rFonts w:hint="eastAsia"/>
              </w:rPr>
            </w:pPr>
            <w:r>
              <w:rPr>
                <w:rFonts w:hint="eastAsia"/>
              </w:rPr>
              <w:t>含水率(%)</w:t>
            </w:r>
          </w:p>
        </w:tc>
        <w:tc>
          <w:tcPr>
            <w:tcW w:w="1065" w:type="dxa"/>
            <w:vMerge w:val="restart"/>
            <w:noWrap w:val="0"/>
            <w:vAlign w:val="center"/>
          </w:tcPr>
          <w:p w14:paraId="6F99126C">
            <w:pPr>
              <w:jc w:val="center"/>
              <w:rPr>
                <w:rFonts w:hint="eastAsia"/>
              </w:rPr>
            </w:pPr>
            <w:r>
              <w:rPr>
                <w:rFonts w:hint="eastAsia"/>
              </w:rPr>
              <w:t>烧失量(%)</w:t>
            </w:r>
          </w:p>
        </w:tc>
        <w:tc>
          <w:tcPr>
            <w:tcW w:w="2132" w:type="dxa"/>
            <w:gridSpan w:val="2"/>
            <w:noWrap w:val="0"/>
            <w:vAlign w:val="center"/>
          </w:tcPr>
          <w:p w14:paraId="270CD903">
            <w:pPr>
              <w:jc w:val="center"/>
              <w:rPr>
                <w:rFonts w:hint="eastAsia"/>
              </w:rPr>
            </w:pPr>
            <w:r>
              <w:rPr>
                <w:rFonts w:hint="eastAsia"/>
              </w:rPr>
              <w:t>活性指数(%)</w:t>
            </w:r>
          </w:p>
        </w:tc>
      </w:tr>
      <w:tr w14:paraId="1E7B18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065" w:type="dxa"/>
            <w:vMerge w:val="continue"/>
            <w:noWrap w:val="0"/>
            <w:vAlign w:val="center"/>
          </w:tcPr>
          <w:p w14:paraId="7F0E9975">
            <w:pPr>
              <w:jc w:val="center"/>
              <w:rPr>
                <w:rFonts w:hint="eastAsia"/>
              </w:rPr>
            </w:pPr>
          </w:p>
        </w:tc>
        <w:tc>
          <w:tcPr>
            <w:tcW w:w="1065" w:type="dxa"/>
            <w:vMerge w:val="continue"/>
            <w:noWrap w:val="0"/>
            <w:vAlign w:val="center"/>
          </w:tcPr>
          <w:p w14:paraId="6238EBBC">
            <w:pPr>
              <w:jc w:val="center"/>
              <w:rPr>
                <w:rFonts w:hint="eastAsia"/>
              </w:rPr>
            </w:pPr>
          </w:p>
        </w:tc>
        <w:tc>
          <w:tcPr>
            <w:tcW w:w="1065" w:type="dxa"/>
            <w:vMerge w:val="continue"/>
            <w:noWrap w:val="0"/>
            <w:vAlign w:val="center"/>
          </w:tcPr>
          <w:p w14:paraId="06DB10FA">
            <w:pPr>
              <w:jc w:val="center"/>
              <w:rPr>
                <w:rFonts w:hint="eastAsia"/>
              </w:rPr>
            </w:pPr>
          </w:p>
        </w:tc>
        <w:tc>
          <w:tcPr>
            <w:tcW w:w="1065" w:type="dxa"/>
            <w:vMerge w:val="continue"/>
            <w:noWrap w:val="0"/>
            <w:vAlign w:val="center"/>
          </w:tcPr>
          <w:p w14:paraId="40F1FEEC">
            <w:pPr>
              <w:jc w:val="center"/>
              <w:rPr>
                <w:rFonts w:hint="eastAsia"/>
              </w:rPr>
            </w:pPr>
          </w:p>
        </w:tc>
        <w:tc>
          <w:tcPr>
            <w:tcW w:w="1065" w:type="dxa"/>
            <w:vMerge w:val="continue"/>
            <w:noWrap w:val="0"/>
            <w:vAlign w:val="center"/>
          </w:tcPr>
          <w:p w14:paraId="51F31C5C">
            <w:pPr>
              <w:jc w:val="center"/>
              <w:rPr>
                <w:rFonts w:hint="eastAsia"/>
              </w:rPr>
            </w:pPr>
          </w:p>
        </w:tc>
        <w:tc>
          <w:tcPr>
            <w:tcW w:w="1065" w:type="dxa"/>
            <w:vMerge w:val="continue"/>
            <w:noWrap w:val="0"/>
            <w:vAlign w:val="center"/>
          </w:tcPr>
          <w:p w14:paraId="7D89E1D4">
            <w:pPr>
              <w:jc w:val="center"/>
              <w:rPr>
                <w:rFonts w:hint="eastAsia"/>
              </w:rPr>
            </w:pPr>
          </w:p>
        </w:tc>
        <w:tc>
          <w:tcPr>
            <w:tcW w:w="1066" w:type="dxa"/>
            <w:noWrap w:val="0"/>
            <w:vAlign w:val="center"/>
          </w:tcPr>
          <w:p w14:paraId="062D5A67">
            <w:pPr>
              <w:jc w:val="center"/>
              <w:rPr>
                <w:rFonts w:hint="eastAsia"/>
              </w:rPr>
            </w:pPr>
            <w:r>
              <w:rPr>
                <w:rFonts w:hint="eastAsia"/>
              </w:rPr>
              <w:t>7天</w:t>
            </w:r>
          </w:p>
        </w:tc>
        <w:tc>
          <w:tcPr>
            <w:tcW w:w="1066" w:type="dxa"/>
            <w:noWrap w:val="0"/>
            <w:vAlign w:val="center"/>
          </w:tcPr>
          <w:p w14:paraId="2CD03960">
            <w:pPr>
              <w:jc w:val="center"/>
              <w:rPr>
                <w:rFonts w:hint="eastAsia"/>
              </w:rPr>
            </w:pPr>
            <w:r>
              <w:rPr>
                <w:rFonts w:hint="eastAsia"/>
              </w:rPr>
              <w:t>28天</w:t>
            </w:r>
          </w:p>
        </w:tc>
      </w:tr>
      <w:tr w14:paraId="5283F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1065" w:type="dxa"/>
            <w:noWrap w:val="0"/>
            <w:vAlign w:val="center"/>
          </w:tcPr>
          <w:p w14:paraId="043A5701">
            <w:pPr>
              <w:jc w:val="center"/>
              <w:rPr>
                <w:rFonts w:hint="eastAsia"/>
              </w:rPr>
            </w:pPr>
            <w:r>
              <w:rPr>
                <w:rFonts w:hint="eastAsia"/>
              </w:rPr>
              <w:t>指标</w:t>
            </w:r>
          </w:p>
        </w:tc>
        <w:tc>
          <w:tcPr>
            <w:tcW w:w="1065" w:type="dxa"/>
            <w:noWrap w:val="0"/>
            <w:vAlign w:val="center"/>
          </w:tcPr>
          <w:p w14:paraId="640BBB8A">
            <w:pPr>
              <w:jc w:val="center"/>
              <w:rPr>
                <w:rFonts w:hint="eastAsia"/>
              </w:rPr>
            </w:pPr>
            <w:r>
              <w:rPr>
                <w:rFonts w:hint="eastAsia"/>
              </w:rPr>
              <w:t>≥2.8</w:t>
            </w:r>
          </w:p>
        </w:tc>
        <w:tc>
          <w:tcPr>
            <w:tcW w:w="1065" w:type="dxa"/>
            <w:noWrap w:val="0"/>
            <w:vAlign w:val="center"/>
          </w:tcPr>
          <w:p w14:paraId="45DAF13B">
            <w:pPr>
              <w:jc w:val="center"/>
              <w:rPr>
                <w:rFonts w:hint="eastAsia"/>
              </w:rPr>
            </w:pPr>
            <w:r>
              <w:rPr>
                <w:rFonts w:hint="eastAsia"/>
              </w:rPr>
              <w:t>≥400</w:t>
            </w:r>
          </w:p>
        </w:tc>
        <w:tc>
          <w:tcPr>
            <w:tcW w:w="1065" w:type="dxa"/>
            <w:noWrap w:val="0"/>
            <w:vAlign w:val="center"/>
          </w:tcPr>
          <w:p w14:paraId="654A0A7D">
            <w:pPr>
              <w:jc w:val="center"/>
              <w:rPr>
                <w:rFonts w:hint="eastAsia"/>
              </w:rPr>
            </w:pPr>
            <w:r>
              <w:rPr>
                <w:rFonts w:hint="eastAsia"/>
              </w:rPr>
              <w:t>≥95</w:t>
            </w:r>
          </w:p>
        </w:tc>
        <w:tc>
          <w:tcPr>
            <w:tcW w:w="1065" w:type="dxa"/>
            <w:noWrap w:val="0"/>
            <w:vAlign w:val="center"/>
          </w:tcPr>
          <w:p w14:paraId="3D5807A0">
            <w:pPr>
              <w:jc w:val="center"/>
              <w:rPr>
                <w:rFonts w:hint="eastAsia"/>
              </w:rPr>
            </w:pPr>
            <w:r>
              <w:rPr>
                <w:rFonts w:hint="eastAsia"/>
              </w:rPr>
              <w:t>≤1.0</w:t>
            </w:r>
          </w:p>
        </w:tc>
        <w:tc>
          <w:tcPr>
            <w:tcW w:w="1065" w:type="dxa"/>
            <w:noWrap w:val="0"/>
            <w:vAlign w:val="center"/>
          </w:tcPr>
          <w:p w14:paraId="62D77E8F">
            <w:pPr>
              <w:jc w:val="center"/>
              <w:rPr>
                <w:rFonts w:hint="eastAsia"/>
              </w:rPr>
            </w:pPr>
            <w:r>
              <w:rPr>
                <w:rFonts w:hint="eastAsia"/>
              </w:rPr>
              <w:t>≤</w:t>
            </w:r>
            <w:r>
              <w:rPr>
                <w:rFonts w:hint="eastAsia"/>
                <w:lang w:val="en-US" w:eastAsia="zh-CN"/>
              </w:rPr>
              <w:t>1</w:t>
            </w:r>
            <w:r>
              <w:rPr>
                <w:rFonts w:hint="eastAsia"/>
              </w:rPr>
              <w:t>.0</w:t>
            </w:r>
          </w:p>
        </w:tc>
        <w:tc>
          <w:tcPr>
            <w:tcW w:w="1066" w:type="dxa"/>
            <w:noWrap w:val="0"/>
            <w:vAlign w:val="center"/>
          </w:tcPr>
          <w:p w14:paraId="111C27F7">
            <w:pPr>
              <w:jc w:val="center"/>
              <w:rPr>
                <w:rFonts w:hint="eastAsia" w:eastAsia="宋体"/>
                <w:lang w:eastAsia="zh-CN"/>
              </w:rPr>
            </w:pPr>
            <w:r>
              <w:rPr>
                <w:rFonts w:hint="eastAsia"/>
              </w:rPr>
              <w:t>≥7</w:t>
            </w:r>
            <w:r>
              <w:rPr>
                <w:rFonts w:hint="eastAsia"/>
                <w:lang w:val="en-US" w:eastAsia="zh-CN"/>
              </w:rPr>
              <w:t>0</w:t>
            </w:r>
          </w:p>
        </w:tc>
        <w:tc>
          <w:tcPr>
            <w:tcW w:w="1066" w:type="dxa"/>
            <w:noWrap w:val="0"/>
            <w:vAlign w:val="center"/>
          </w:tcPr>
          <w:p w14:paraId="7972CB8F">
            <w:pPr>
              <w:jc w:val="center"/>
              <w:rPr>
                <w:rFonts w:hint="eastAsia"/>
              </w:rPr>
            </w:pPr>
            <w:r>
              <w:rPr>
                <w:rFonts w:hint="eastAsia"/>
              </w:rPr>
              <w:t>≥95</w:t>
            </w:r>
          </w:p>
        </w:tc>
      </w:tr>
    </w:tbl>
    <w:p w14:paraId="64DD65A2">
      <w:pPr>
        <w:rPr>
          <w:rFonts w:hint="eastAsia"/>
          <w:sz w:val="32"/>
          <w:szCs w:val="32"/>
        </w:rPr>
      </w:pPr>
    </w:p>
    <w:p w14:paraId="3FEEEFC8">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3"/>
        <w:rPr>
          <w:rFonts w:hint="eastAsia" w:cs="宋体"/>
          <w:b/>
          <w:bCs/>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6EA8125A">
      <w:pPr>
        <w:rPr>
          <w:rFonts w:hint="eastAsia" w:cs="宋体"/>
          <w:b/>
          <w:bCs/>
          <w:sz w:val="28"/>
          <w:szCs w:val="28"/>
          <w:lang w:val="en-US" w:eastAsia="zh-CN"/>
        </w:rPr>
      </w:pPr>
    </w:p>
    <w:p w14:paraId="091FD041">
      <w:pPr>
        <w:pStyle w:val="13"/>
        <w:rPr>
          <w:rFonts w:hint="eastAsia" w:cs="宋体"/>
          <w:b/>
          <w:bCs/>
          <w:sz w:val="28"/>
          <w:szCs w:val="28"/>
          <w:lang w:val="en-US" w:eastAsia="zh-CN"/>
        </w:rPr>
      </w:pPr>
    </w:p>
    <w:p w14:paraId="47AFE3FA">
      <w:pPr>
        <w:rPr>
          <w:rFonts w:hint="eastAsia"/>
          <w:lang w:val="en-US" w:eastAsia="zh-CN"/>
        </w:rPr>
      </w:pPr>
    </w:p>
    <w:p w14:paraId="00834F3D">
      <w:pPr>
        <w:rPr>
          <w:rFonts w:hint="eastAsia" w:cs="宋体"/>
          <w:b/>
          <w:bCs/>
          <w:sz w:val="28"/>
          <w:szCs w:val="28"/>
          <w:lang w:val="en-US" w:eastAsia="zh-CN"/>
        </w:rPr>
      </w:pPr>
    </w:p>
    <w:p w14:paraId="18CE1AF8">
      <w:pPr>
        <w:pStyle w:val="13"/>
        <w:rPr>
          <w:rFonts w:hint="eastAsia" w:cs="宋体"/>
          <w:b/>
          <w:bCs/>
          <w:sz w:val="28"/>
          <w:szCs w:val="28"/>
          <w:lang w:val="en-US" w:eastAsia="zh-CN"/>
        </w:rPr>
      </w:pPr>
    </w:p>
    <w:p w14:paraId="44FF8600">
      <w:pPr>
        <w:rPr>
          <w:rFonts w:hint="eastAsia"/>
          <w:lang w:val="en-US" w:eastAsia="zh-CN"/>
        </w:rPr>
      </w:pPr>
    </w:p>
    <w:p w14:paraId="426DDE31">
      <w:pPr>
        <w:pStyle w:val="4"/>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9"/>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（1）“信用中国”失信被执行人</w:t>
      </w:r>
      <w:r>
        <w:rPr>
          <w:rFonts w:hint="eastAsia" w:ascii="黑体" w:hAnsi="黑体" w:eastAsia="黑体" w:cs="黑体"/>
          <w:sz w:val="28"/>
          <w:szCs w:val="28"/>
          <w:lang w:val="en-US" w:eastAsia="zh-CN"/>
        </w:rPr>
        <w:t>截图</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27823">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（2）“信用中国”重大税收违法失信主体</w:t>
      </w:r>
      <w:r>
        <w:rPr>
          <w:rFonts w:hint="eastAsia" w:ascii="黑体" w:hAnsi="黑体" w:eastAsia="黑体" w:cs="黑体"/>
          <w:sz w:val="28"/>
          <w:szCs w:val="28"/>
          <w:lang w:val="en-US" w:eastAsia="zh-CN"/>
        </w:rPr>
        <w:t>截图</w:t>
      </w: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A6B5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2E46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34D1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C6FDA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2F0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1FE7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F662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31A7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1748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D156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77B0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E2C3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ECB3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9481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4FB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5D39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B33F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A8BD2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99F3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F33A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A4A7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E769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FA00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0638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7E82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236B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8B9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41539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CDF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DBD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25EB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08E1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1972B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28EFC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CC09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B5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E40D5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5F69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1F0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57F6D2">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（3）“信用中国”政府采购严重违法失信行为记录名单</w:t>
      </w:r>
      <w:r>
        <w:rPr>
          <w:rFonts w:hint="eastAsia" w:ascii="黑体" w:hAnsi="黑体" w:eastAsia="黑体" w:cs="黑体"/>
          <w:sz w:val="28"/>
          <w:szCs w:val="28"/>
          <w:lang w:val="en-US" w:eastAsia="zh-CN"/>
        </w:rPr>
        <w:t>截图</w:t>
      </w:r>
    </w:p>
    <w:p w14:paraId="069F05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702BD8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7193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0212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D491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E5DE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653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44C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66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DBE9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BCE9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7360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BA5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5D6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54FE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C741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232FD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8554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CACE1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7766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B7C0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EE058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77817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59A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3190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E8D2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C5A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8891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5006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BC41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E98F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FE2C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FAE1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06A9F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2BC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CCA9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33D3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A09F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DCC8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B898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4E5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9EF3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976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rPr>
      </w:pPr>
      <w:r>
        <w:rPr>
          <w:rFonts w:hint="eastAsia" w:ascii="黑体" w:hAnsi="黑体" w:eastAsia="黑体" w:cs="黑体"/>
          <w:kern w:val="0"/>
          <w:sz w:val="28"/>
          <w:szCs w:val="28"/>
          <w:lang w:val="en-US" w:eastAsia="zh-CN"/>
        </w:rPr>
        <w:t>（4）“中国政府采购网”(www.ccgp.gov.cn)政府采购严重违法失信行为记录名单</w:t>
      </w:r>
      <w:r>
        <w:rPr>
          <w:rFonts w:hint="eastAsia" w:ascii="黑体" w:hAnsi="黑体" w:eastAsia="黑体" w:cs="黑体"/>
          <w:sz w:val="28"/>
          <w:szCs w:val="28"/>
          <w:lang w:val="en-US" w:eastAsia="zh-CN"/>
        </w:rPr>
        <w:t>截图</w:t>
      </w:r>
    </w:p>
    <w:p w14:paraId="660E4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BB5C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31C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934F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5E47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A81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8C97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90EF3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3B9B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7F35B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966E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3112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163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bookmarkStart w:id="0" w:name="_GoBack"/>
      <w:bookmarkEnd w:id="0"/>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4"/>
          <w:szCs w:val="24"/>
          <w:lang w:val="en-US" w:eastAsia="zh-CN"/>
        </w:rPr>
      </w:pPr>
      <w:r>
        <w:rPr>
          <w:rFonts w:hint="eastAsia"/>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0FBA8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提交响应文件之日起至本项目结束</w:t>
      </w:r>
      <w:r>
        <w:rPr>
          <w:rFonts w:hint="eastAsia" w:ascii="宋体" w:hAnsi="宋体" w:cs="宋体"/>
          <w:color w:val="000000"/>
          <w:sz w:val="24"/>
          <w:szCs w:val="24"/>
        </w:rPr>
        <w:t xml:space="preserve">。 </w:t>
      </w:r>
    </w:p>
    <w:p w14:paraId="45C188E0">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291FFEFF">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4AA0161">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62F111A8">
      <w:pPr>
        <w:spacing w:line="360" w:lineRule="auto"/>
        <w:rPr>
          <w:rFonts w:ascii="宋体" w:hAnsi="宋体" w:cs="宋体"/>
          <w:color w:val="000000"/>
          <w:sz w:val="24"/>
          <w:szCs w:val="24"/>
        </w:rPr>
      </w:pPr>
      <w:r>
        <w:rPr>
          <w:rFonts w:hint="eastAsia" w:ascii="宋体" w:hAnsi="宋体" w:cs="宋体"/>
          <w:color w:val="000000"/>
          <w:sz w:val="24"/>
          <w:szCs w:val="24"/>
        </w:rPr>
        <w:t>附：</w:t>
      </w:r>
    </w:p>
    <w:p w14:paraId="1740D4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5FA7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7D9E96CD">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09F0A8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jc w:val="center"/>
        </w:trPr>
        <w:tc>
          <w:tcPr>
            <w:tcW w:w="9532" w:type="dxa"/>
            <w:noWrap w:val="0"/>
            <w:vAlign w:val="top"/>
          </w:tcPr>
          <w:p w14:paraId="3D9F9208">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932F7B-3C8B-4D4C-9CEE-C9E87B41C6E2}"/>
  </w:font>
  <w:font w:name="黑体">
    <w:panose1 w:val="02010609060101010101"/>
    <w:charset w:val="86"/>
    <w:family w:val="auto"/>
    <w:pitch w:val="default"/>
    <w:sig w:usb0="800002BF" w:usb1="38CF7CFA" w:usb2="00000016" w:usb3="00000000" w:csb0="00040001" w:csb1="00000000"/>
    <w:embedRegular r:id="rId2" w:fontKey="{4778ADF4-7DF5-419A-9883-891F27CE87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179261F-1160-49AC-A5D3-ED2F3351FC07}"/>
  </w:font>
  <w:font w:name="����">
    <w:altName w:val="Times New Roman"/>
    <w:panose1 w:val="00000000000000000000"/>
    <w:charset w:val="00"/>
    <w:family w:val="roman"/>
    <w:pitch w:val="default"/>
    <w:sig w:usb0="00000000" w:usb1="00000000" w:usb2="00000000" w:usb3="00000000" w:csb0="00040001" w:csb1="00000000"/>
    <w:embedRegular r:id="rId4" w:fontKey="{49EEF6BE-B5D3-44FB-903B-8259186FC732}"/>
  </w:font>
  <w:font w:name="华文仿宋">
    <w:panose1 w:val="02010600040101010101"/>
    <w:charset w:val="86"/>
    <w:family w:val="auto"/>
    <w:pitch w:val="default"/>
    <w:sig w:usb0="00000287" w:usb1="080F0000" w:usb2="00000000" w:usb3="00000000" w:csb0="0004009F" w:csb1="DFD70000"/>
    <w:embedRegular r:id="rId5" w:fontKey="{85CB3A19-7288-448D-B1B5-D128E616846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3A2E4D"/>
    <w:rsid w:val="026E0D49"/>
    <w:rsid w:val="02B4138D"/>
    <w:rsid w:val="034235CC"/>
    <w:rsid w:val="0348159A"/>
    <w:rsid w:val="035E4C1B"/>
    <w:rsid w:val="03A03184"/>
    <w:rsid w:val="04183B22"/>
    <w:rsid w:val="05813673"/>
    <w:rsid w:val="05B11678"/>
    <w:rsid w:val="05B11693"/>
    <w:rsid w:val="05CE0100"/>
    <w:rsid w:val="05D84E57"/>
    <w:rsid w:val="06205249"/>
    <w:rsid w:val="062C51A3"/>
    <w:rsid w:val="07CD712C"/>
    <w:rsid w:val="07F50F8F"/>
    <w:rsid w:val="089A2898"/>
    <w:rsid w:val="09371E95"/>
    <w:rsid w:val="09431433"/>
    <w:rsid w:val="098175B4"/>
    <w:rsid w:val="09970B85"/>
    <w:rsid w:val="09FE0C04"/>
    <w:rsid w:val="0A106F88"/>
    <w:rsid w:val="0B184C5D"/>
    <w:rsid w:val="0B4807DB"/>
    <w:rsid w:val="0B595D03"/>
    <w:rsid w:val="0B664CB3"/>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28679E9"/>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9374005"/>
    <w:rsid w:val="1A0119AE"/>
    <w:rsid w:val="1A6C5478"/>
    <w:rsid w:val="1A8B7005"/>
    <w:rsid w:val="1AE654C9"/>
    <w:rsid w:val="1B043BA1"/>
    <w:rsid w:val="1B7E4004"/>
    <w:rsid w:val="1BCD0DA7"/>
    <w:rsid w:val="1C0D11A1"/>
    <w:rsid w:val="1C9059CC"/>
    <w:rsid w:val="1D083E1C"/>
    <w:rsid w:val="1D7C23BA"/>
    <w:rsid w:val="1D7F150F"/>
    <w:rsid w:val="1DFB572F"/>
    <w:rsid w:val="1E442F3A"/>
    <w:rsid w:val="1E8C5E22"/>
    <w:rsid w:val="204C04C4"/>
    <w:rsid w:val="20AA6F98"/>
    <w:rsid w:val="20B147CB"/>
    <w:rsid w:val="21661111"/>
    <w:rsid w:val="218D2B42"/>
    <w:rsid w:val="22A249A6"/>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CC5A46"/>
    <w:rsid w:val="282E5A71"/>
    <w:rsid w:val="283F6A16"/>
    <w:rsid w:val="2929213F"/>
    <w:rsid w:val="293B10D5"/>
    <w:rsid w:val="299B1B74"/>
    <w:rsid w:val="29C235A5"/>
    <w:rsid w:val="29FD638B"/>
    <w:rsid w:val="2A5561C7"/>
    <w:rsid w:val="2B581902"/>
    <w:rsid w:val="2BAA0E71"/>
    <w:rsid w:val="2BC849F0"/>
    <w:rsid w:val="2CA0316D"/>
    <w:rsid w:val="2CA23219"/>
    <w:rsid w:val="2D6F134E"/>
    <w:rsid w:val="2DF74E76"/>
    <w:rsid w:val="2E1A575D"/>
    <w:rsid w:val="2E3162D4"/>
    <w:rsid w:val="2E360598"/>
    <w:rsid w:val="2EB11822"/>
    <w:rsid w:val="2F6A44C2"/>
    <w:rsid w:val="2FAF05A4"/>
    <w:rsid w:val="30C1694A"/>
    <w:rsid w:val="30D62B4C"/>
    <w:rsid w:val="31A12040"/>
    <w:rsid w:val="31B2247B"/>
    <w:rsid w:val="31BF22F0"/>
    <w:rsid w:val="32A40394"/>
    <w:rsid w:val="32C4038E"/>
    <w:rsid w:val="33423F49"/>
    <w:rsid w:val="33642647"/>
    <w:rsid w:val="33A508C6"/>
    <w:rsid w:val="33CB74FA"/>
    <w:rsid w:val="33EB36F8"/>
    <w:rsid w:val="349B4F95"/>
    <w:rsid w:val="34AA710F"/>
    <w:rsid w:val="372F3BBB"/>
    <w:rsid w:val="373A29CC"/>
    <w:rsid w:val="383854B8"/>
    <w:rsid w:val="38BF04A4"/>
    <w:rsid w:val="399A1E48"/>
    <w:rsid w:val="3A044F24"/>
    <w:rsid w:val="3A3D4315"/>
    <w:rsid w:val="3BF33A92"/>
    <w:rsid w:val="3C7249B6"/>
    <w:rsid w:val="3CC761A1"/>
    <w:rsid w:val="3D7D1865"/>
    <w:rsid w:val="3DBF7A58"/>
    <w:rsid w:val="3E1040D4"/>
    <w:rsid w:val="3E622809"/>
    <w:rsid w:val="3E952BDE"/>
    <w:rsid w:val="3F1032CE"/>
    <w:rsid w:val="3F454604"/>
    <w:rsid w:val="3FC714BD"/>
    <w:rsid w:val="402C1320"/>
    <w:rsid w:val="4036763E"/>
    <w:rsid w:val="40994C08"/>
    <w:rsid w:val="418C1319"/>
    <w:rsid w:val="41967399"/>
    <w:rsid w:val="41B31CF9"/>
    <w:rsid w:val="42360234"/>
    <w:rsid w:val="4249440B"/>
    <w:rsid w:val="42732AEB"/>
    <w:rsid w:val="43394480"/>
    <w:rsid w:val="43AA712C"/>
    <w:rsid w:val="43BC4548"/>
    <w:rsid w:val="44015A9E"/>
    <w:rsid w:val="44B04CD0"/>
    <w:rsid w:val="459B4382"/>
    <w:rsid w:val="46483E29"/>
    <w:rsid w:val="467D0EDE"/>
    <w:rsid w:val="47460F19"/>
    <w:rsid w:val="47DE46A5"/>
    <w:rsid w:val="48354DB9"/>
    <w:rsid w:val="490364FE"/>
    <w:rsid w:val="49266648"/>
    <w:rsid w:val="49395FC6"/>
    <w:rsid w:val="497005C6"/>
    <w:rsid w:val="49746789"/>
    <w:rsid w:val="49D665DA"/>
    <w:rsid w:val="4AA30431"/>
    <w:rsid w:val="4AF77A1D"/>
    <w:rsid w:val="4B1F21AD"/>
    <w:rsid w:val="4BBB64B3"/>
    <w:rsid w:val="4BCD7E5B"/>
    <w:rsid w:val="4BED5C15"/>
    <w:rsid w:val="4C3954F1"/>
    <w:rsid w:val="4C431ECB"/>
    <w:rsid w:val="4CC67DE8"/>
    <w:rsid w:val="4CCD1B57"/>
    <w:rsid w:val="4D5C2BE2"/>
    <w:rsid w:val="4E8A2E33"/>
    <w:rsid w:val="4E97344C"/>
    <w:rsid w:val="4ECE27B7"/>
    <w:rsid w:val="4ED6187A"/>
    <w:rsid w:val="4F411867"/>
    <w:rsid w:val="50394DF5"/>
    <w:rsid w:val="5100482F"/>
    <w:rsid w:val="51037051"/>
    <w:rsid w:val="51037E7B"/>
    <w:rsid w:val="51B00003"/>
    <w:rsid w:val="52252304"/>
    <w:rsid w:val="52391DA6"/>
    <w:rsid w:val="52675B0E"/>
    <w:rsid w:val="528345AF"/>
    <w:rsid w:val="52BC5DCD"/>
    <w:rsid w:val="53BF452D"/>
    <w:rsid w:val="549534E0"/>
    <w:rsid w:val="54A70797"/>
    <w:rsid w:val="54B311D4"/>
    <w:rsid w:val="552F56E3"/>
    <w:rsid w:val="55911EF9"/>
    <w:rsid w:val="55C6781D"/>
    <w:rsid w:val="55C951EF"/>
    <w:rsid w:val="562D1D27"/>
    <w:rsid w:val="5645226B"/>
    <w:rsid w:val="56FE35BF"/>
    <w:rsid w:val="57D11473"/>
    <w:rsid w:val="57FD2D5B"/>
    <w:rsid w:val="58025725"/>
    <w:rsid w:val="58537134"/>
    <w:rsid w:val="586236D9"/>
    <w:rsid w:val="58B27440"/>
    <w:rsid w:val="59060509"/>
    <w:rsid w:val="5936030B"/>
    <w:rsid w:val="597E09E7"/>
    <w:rsid w:val="598219D2"/>
    <w:rsid w:val="598A113A"/>
    <w:rsid w:val="5A2C6C1A"/>
    <w:rsid w:val="5A520A9F"/>
    <w:rsid w:val="5BAD7D58"/>
    <w:rsid w:val="5BD90B93"/>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4F180D"/>
    <w:rsid w:val="63AF3CC8"/>
    <w:rsid w:val="65B17A4E"/>
    <w:rsid w:val="65E15E31"/>
    <w:rsid w:val="66635E22"/>
    <w:rsid w:val="66990C0E"/>
    <w:rsid w:val="68EF5076"/>
    <w:rsid w:val="69236EB5"/>
    <w:rsid w:val="69BE2739"/>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FC362D"/>
    <w:rsid w:val="79870D9A"/>
    <w:rsid w:val="7A9341E6"/>
    <w:rsid w:val="7AF34939"/>
    <w:rsid w:val="7C2D598F"/>
    <w:rsid w:val="7C6F5D09"/>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3131</Words>
  <Characters>3412</Characters>
  <Lines>0</Lines>
  <Paragraphs>0</Paragraphs>
  <TotalTime>10</TotalTime>
  <ScaleCrop>false</ScaleCrop>
  <LinksUpToDate>false</LinksUpToDate>
  <CharactersWithSpaces>3680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2024-10-24T07:42:00Z</cp:lastPrinted>
  <dcterms:modified xsi:type="dcterms:W3CDTF">2024-12-20T08:46:05Z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F110C76F991B476CB017229D4D05333A_13</vt:lpwstr>
  </property>
</Properties>
</file>