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7B8B">
      <w:pPr>
        <w:pStyle w:val="15"/>
        <w:jc w:val="center"/>
        <w:rPr>
          <w:rFonts w:hint="eastAsia"/>
          <w:b/>
          <w:sz w:val="36"/>
          <w:szCs w:val="32"/>
          <w:highlight w:val="none"/>
          <w:lang w:val="en-US" w:eastAsia="zh-CN"/>
        </w:rPr>
      </w:pPr>
      <w:r>
        <w:rPr>
          <w:rFonts w:hint="eastAsia"/>
          <w:b/>
          <w:sz w:val="36"/>
          <w:szCs w:val="32"/>
          <w:highlight w:val="none"/>
          <w:lang w:val="en-US" w:eastAsia="zh-CN"/>
        </w:rPr>
        <w:t>第2包第1期沥青色粉采购项目</w:t>
      </w:r>
    </w:p>
    <w:p w14:paraId="1EA11756">
      <w:pPr>
        <w:pStyle w:val="15"/>
        <w:jc w:val="center"/>
        <w:rPr>
          <w:rFonts w:hint="eastAsia" w:ascii="宋体" w:hAnsi="Times New Roman" w:eastAsia="宋体" w:cs="Times New Roman"/>
          <w:b/>
          <w:w w:val="90"/>
          <w:sz w:val="36"/>
          <w:szCs w:val="32"/>
          <w:highlight w:val="none"/>
          <w:lang w:val="en-US" w:eastAsia="zh-CN"/>
        </w:rPr>
      </w:pPr>
      <w:r>
        <w:rPr>
          <w:rFonts w:hint="eastAsia" w:ascii="宋体" w:hAnsi="Times New Roman" w:eastAsia="宋体" w:cs="Times New Roman"/>
          <w:b/>
          <w:w w:val="90"/>
          <w:sz w:val="36"/>
          <w:szCs w:val="32"/>
          <w:highlight w:val="none"/>
          <w:lang w:val="en-US" w:eastAsia="zh-CN"/>
        </w:rPr>
        <w:t>框架协议二次竞价公告</w:t>
      </w:r>
    </w:p>
    <w:p w14:paraId="602C8C88">
      <w:pPr>
        <w:pStyle w:val="15"/>
        <w:jc w:val="center"/>
        <w:rPr>
          <w:rFonts w:hint="eastAsia" w:ascii="宋体" w:hAnsi="Times New Roman" w:eastAsia="宋体" w:cs="Times New Roman"/>
          <w:b/>
          <w:w w:val="90"/>
          <w:sz w:val="36"/>
          <w:szCs w:val="32"/>
          <w:highlight w:val="none"/>
          <w:lang w:val="en-US" w:eastAsia="zh-CN"/>
        </w:rPr>
      </w:pPr>
    </w:p>
    <w:p w14:paraId="7F19CF8C">
      <w:pPr>
        <w:pStyle w:val="15"/>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第2包段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714766B5">
      <w:pPr>
        <w:pStyle w:val="15"/>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第2包第1期沥青色粉采购项目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1A6D35BB">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2024100011</w:t>
      </w:r>
      <w:r>
        <w:rPr>
          <w:rFonts w:hint="eastAsia"/>
          <w:b/>
          <w:sz w:val="28"/>
          <w:szCs w:val="28"/>
          <w:highlight w:val="none"/>
        </w:rPr>
        <w:t>）号</w:t>
      </w:r>
    </w:p>
    <w:p w14:paraId="582305CC">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w:t>
      </w:r>
      <w:r>
        <w:rPr>
          <w:rFonts w:hint="eastAsia" w:ascii="宋体" w:hAnsi="宋体" w:eastAsia="宋体" w:cs="宋体"/>
          <w:kern w:val="0"/>
          <w:sz w:val="28"/>
          <w:szCs w:val="28"/>
          <w:highlight w:val="none"/>
          <w:lang w:val="en-US" w:eastAsia="zh-CN"/>
        </w:rPr>
        <w:t>HBHB-2024-577</w:t>
      </w:r>
    </w:p>
    <w:p w14:paraId="59370F40">
      <w:pPr>
        <w:pStyle w:val="15"/>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第2包第1期沥青色粉采购项目</w:t>
      </w:r>
    </w:p>
    <w:p w14:paraId="3A3119A6">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11F26AF5">
      <w:pPr>
        <w:pStyle w:val="15"/>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单项最高限价（到场不含税）：</w:t>
      </w:r>
    </w:p>
    <w:p w14:paraId="4EB6018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国标红色5124.00元/吨</w:t>
      </w:r>
    </w:p>
    <w:p w14:paraId="407EDA6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 xml:space="preserve">草绿色  5300.00元/吨 </w:t>
      </w:r>
    </w:p>
    <w:p w14:paraId="06F0544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0" w:firstLineChars="1500"/>
        <w:textAlignment w:val="baseline"/>
        <w:rPr>
          <w:rFonts w:hint="eastAsia"/>
          <w:sz w:val="28"/>
          <w:szCs w:val="28"/>
          <w:lang w:val="en-US" w:eastAsia="zh-CN"/>
        </w:rPr>
      </w:pPr>
      <w:r>
        <w:rPr>
          <w:rFonts w:hint="eastAsia"/>
          <w:sz w:val="28"/>
          <w:szCs w:val="28"/>
          <w:lang w:val="en-US" w:eastAsia="zh-CN"/>
        </w:rPr>
        <w:t xml:space="preserve">墨绿色  4858.00元/吨 </w:t>
      </w:r>
    </w:p>
    <w:p w14:paraId="4D33BAB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 xml:space="preserve">果绿色  7513.00元/吨 </w:t>
      </w:r>
    </w:p>
    <w:p w14:paraId="631BCB7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 xml:space="preserve">深蓝色  8575.00元/吨 </w:t>
      </w:r>
    </w:p>
    <w:p w14:paraId="6E043ED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 xml:space="preserve">浅蓝色  7955.00元/吨 </w:t>
      </w:r>
    </w:p>
    <w:p w14:paraId="26B2B03A">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 xml:space="preserve">灰  色  5079.00元/吨 </w:t>
      </w:r>
    </w:p>
    <w:p w14:paraId="739AE08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eastAsia"/>
          <w:sz w:val="28"/>
          <w:szCs w:val="28"/>
          <w:lang w:val="en-US" w:eastAsia="zh-CN"/>
        </w:rPr>
      </w:pPr>
      <w:r>
        <w:rPr>
          <w:rFonts w:hint="eastAsia"/>
          <w:sz w:val="28"/>
          <w:szCs w:val="28"/>
          <w:lang w:val="en-US" w:eastAsia="zh-CN"/>
        </w:rPr>
        <w:t>土黄色  5053.00元/吨</w:t>
      </w:r>
    </w:p>
    <w:p w14:paraId="677D027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00" w:firstLineChars="1500"/>
        <w:textAlignment w:val="baseline"/>
        <w:rPr>
          <w:rFonts w:hint="default"/>
          <w:sz w:val="28"/>
          <w:szCs w:val="28"/>
          <w:lang w:val="en-US" w:eastAsia="zh-CN"/>
        </w:rPr>
      </w:pPr>
      <w:r>
        <w:rPr>
          <w:rFonts w:hint="eastAsia"/>
          <w:sz w:val="28"/>
          <w:szCs w:val="28"/>
          <w:lang w:val="en-US" w:eastAsia="zh-CN"/>
        </w:rPr>
        <w:t>铬黄色  10575.00元/吨</w:t>
      </w:r>
    </w:p>
    <w:p w14:paraId="348ECB33">
      <w:pPr>
        <w:pStyle w:val="15"/>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采购内容：氧化铁颜料</w:t>
      </w:r>
      <w:r>
        <w:rPr>
          <w:rFonts w:hint="eastAsia"/>
          <w:sz w:val="28"/>
          <w:szCs w:val="28"/>
          <w:lang w:val="en-US" w:eastAsia="zh-CN"/>
        </w:rPr>
        <w:t>，报价单详见报价明细表。</w:t>
      </w:r>
    </w:p>
    <w:p w14:paraId="4E5FF400">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质量标准：CJJ/T 218-2014《城市道路彩色沥青混凝土路面技术规程》</w:t>
      </w:r>
    </w:p>
    <w:p w14:paraId="19445BE8">
      <w:pPr>
        <w:pStyle w:val="15"/>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5"/>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5"/>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5"/>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5"/>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5"/>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5"/>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5"/>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1)报名竞价的单位少于两家:成交供应商只取1名，供应量按暂估量100%签订采购合同，报名竞价的单位仅有一家单位时，直接确定该单位为成交供应商;</w:t>
      </w:r>
    </w:p>
    <w:p w14:paraId="0BA12060">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2）报名竞价的单位仅有三家：成交供应商取前2名，第一名成交供应商按暂估量70%签订采购合同，第二名成交供应商按暂估量30%签订采购合同。</w:t>
      </w:r>
    </w:p>
    <w:p w14:paraId="2B2E345E">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4）在具体执行合同过程中，采购人有权根据成交供应商的履约情况调整采购数量。</w:t>
      </w:r>
    </w:p>
    <w:p w14:paraId="0BA2535F">
      <w:pPr>
        <w:pStyle w:val="15"/>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5"/>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5"/>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5"/>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highlight w:val="yellow"/>
          <w:lang w:val="en-US" w:eastAsia="zh-CN"/>
        </w:rPr>
        <w:t>2包</w:t>
      </w:r>
      <w:r>
        <w:rPr>
          <w:rFonts w:hint="default"/>
          <w:sz w:val="28"/>
          <w:szCs w:val="28"/>
          <w:lang w:val="en-US" w:eastAsia="zh-CN"/>
        </w:rPr>
        <w:t>入围供应商。</w:t>
      </w:r>
    </w:p>
    <w:p w14:paraId="5E1E57EE">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5F863A11">
      <w:pPr>
        <w:sectPr>
          <w:pgSz w:w="11906" w:h="16838"/>
          <w:pgMar w:top="1440" w:right="1486" w:bottom="1440" w:left="1600" w:header="851" w:footer="992" w:gutter="0"/>
          <w:cols w:space="425" w:num="1"/>
          <w:docGrid w:type="lines" w:linePitch="312" w:charSpace="0"/>
        </w:sectPr>
      </w:pPr>
    </w:p>
    <w:p w14:paraId="5A1AA83F">
      <w:pPr>
        <w:pStyle w:val="10"/>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10"/>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10"/>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10"/>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10"/>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10"/>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10"/>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7"/>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7"/>
        <w:keepNext w:val="0"/>
        <w:keepLines w:val="0"/>
        <w:widowControl/>
        <w:suppressLineNumbers w:val="0"/>
        <w:spacing w:line="360" w:lineRule="atLeast"/>
        <w:jc w:val="right"/>
      </w:pPr>
    </w:p>
    <w:p w14:paraId="5128A090">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10"/>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tbl>
      <w:tblPr>
        <w:tblStyle w:val="11"/>
        <w:tblW w:w="8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183"/>
        <w:gridCol w:w="1862"/>
        <w:gridCol w:w="690"/>
        <w:gridCol w:w="855"/>
        <w:gridCol w:w="1740"/>
        <w:gridCol w:w="1316"/>
        <w:gridCol w:w="772"/>
      </w:tblGrid>
      <w:tr w14:paraId="7779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含税控制价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AB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183" w:type="dxa"/>
            <w:vMerge w:val="restart"/>
            <w:tcBorders>
              <w:top w:val="single" w:color="000000" w:sz="4" w:space="0"/>
              <w:left w:val="single" w:color="000000" w:sz="4" w:space="0"/>
              <w:right w:val="single" w:color="000000" w:sz="4" w:space="0"/>
            </w:tcBorders>
            <w:shd w:val="clear" w:color="auto" w:fill="auto"/>
            <w:vAlign w:val="center"/>
          </w:tcPr>
          <w:p w14:paraId="1ABD0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氧化铁颜料</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国标红色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4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5124.00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FBD">
            <w:pPr>
              <w:jc w:val="center"/>
              <w:rPr>
                <w:rFonts w:hint="eastAsia" w:asciiTheme="minorEastAsia" w:hAnsiTheme="minorEastAsia" w:eastAsiaTheme="minorEastAsia" w:cstheme="minorEastAsia"/>
                <w:i w:val="0"/>
                <w:iCs w:val="0"/>
                <w:color w:val="000000"/>
                <w:sz w:val="28"/>
                <w:szCs w:val="28"/>
                <w:u w:val="none"/>
              </w:rPr>
            </w:pPr>
          </w:p>
        </w:tc>
      </w:tr>
      <w:tr w14:paraId="6B0E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3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183" w:type="dxa"/>
            <w:vMerge w:val="continue"/>
            <w:tcBorders>
              <w:left w:val="single" w:color="000000" w:sz="4" w:space="0"/>
              <w:right w:val="single" w:color="000000" w:sz="4" w:space="0"/>
            </w:tcBorders>
            <w:shd w:val="clear" w:color="auto" w:fill="auto"/>
            <w:vAlign w:val="center"/>
          </w:tcPr>
          <w:p w14:paraId="0B18F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草绿色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5300.00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AD48">
            <w:pPr>
              <w:jc w:val="center"/>
              <w:rPr>
                <w:rFonts w:hint="eastAsia" w:asciiTheme="minorEastAsia" w:hAnsiTheme="minorEastAsia" w:eastAsiaTheme="minorEastAsia" w:cstheme="minorEastAsia"/>
                <w:i w:val="0"/>
                <w:iCs w:val="0"/>
                <w:color w:val="000000"/>
                <w:sz w:val="28"/>
                <w:szCs w:val="28"/>
                <w:u w:val="none"/>
              </w:rPr>
            </w:pPr>
          </w:p>
        </w:tc>
      </w:tr>
      <w:tr w14:paraId="2504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183" w:type="dxa"/>
            <w:vMerge w:val="continue"/>
            <w:tcBorders>
              <w:left w:val="single" w:color="000000" w:sz="4" w:space="0"/>
              <w:right w:val="single" w:color="000000" w:sz="4" w:space="0"/>
            </w:tcBorders>
            <w:shd w:val="clear" w:color="auto" w:fill="auto"/>
            <w:vAlign w:val="center"/>
          </w:tcPr>
          <w:p w14:paraId="3CB94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墨绿色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1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4858.00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EE2">
            <w:pPr>
              <w:jc w:val="center"/>
              <w:rPr>
                <w:rFonts w:hint="eastAsia" w:asciiTheme="minorEastAsia" w:hAnsiTheme="minorEastAsia" w:eastAsiaTheme="minorEastAsia" w:cstheme="minorEastAsia"/>
                <w:i w:val="0"/>
                <w:iCs w:val="0"/>
                <w:color w:val="000000"/>
                <w:sz w:val="28"/>
                <w:szCs w:val="28"/>
                <w:u w:val="none"/>
              </w:rPr>
            </w:pPr>
          </w:p>
        </w:tc>
      </w:tr>
      <w:tr w14:paraId="5078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5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183" w:type="dxa"/>
            <w:vMerge w:val="continue"/>
            <w:tcBorders>
              <w:left w:val="single" w:color="000000" w:sz="4" w:space="0"/>
              <w:right w:val="single" w:color="000000" w:sz="4" w:space="0"/>
            </w:tcBorders>
            <w:shd w:val="clear" w:color="auto" w:fill="auto"/>
            <w:vAlign w:val="center"/>
          </w:tcPr>
          <w:p w14:paraId="2B29A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果绿色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B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7513.00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7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39DE">
            <w:pPr>
              <w:jc w:val="center"/>
              <w:rPr>
                <w:rFonts w:hint="eastAsia" w:asciiTheme="minorEastAsia" w:hAnsiTheme="minorEastAsia" w:eastAsiaTheme="minorEastAsia" w:cstheme="minorEastAsia"/>
                <w:i w:val="0"/>
                <w:iCs w:val="0"/>
                <w:color w:val="000000"/>
                <w:sz w:val="28"/>
                <w:szCs w:val="28"/>
                <w:u w:val="none"/>
              </w:rPr>
            </w:pPr>
          </w:p>
        </w:tc>
      </w:tr>
      <w:tr w14:paraId="1126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183" w:type="dxa"/>
            <w:vMerge w:val="continue"/>
            <w:tcBorders>
              <w:left w:val="single" w:color="000000" w:sz="4" w:space="0"/>
              <w:right w:val="single" w:color="000000" w:sz="4" w:space="0"/>
            </w:tcBorders>
            <w:shd w:val="clear" w:color="auto" w:fill="auto"/>
            <w:vAlign w:val="center"/>
          </w:tcPr>
          <w:p w14:paraId="31A4F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5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深蓝色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8575.00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C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3F5">
            <w:pPr>
              <w:jc w:val="center"/>
              <w:rPr>
                <w:rFonts w:hint="eastAsia" w:asciiTheme="minorEastAsia" w:hAnsiTheme="minorEastAsia" w:eastAsiaTheme="minorEastAsia" w:cstheme="minorEastAsia"/>
                <w:i w:val="0"/>
                <w:iCs w:val="0"/>
                <w:color w:val="000000"/>
                <w:sz w:val="28"/>
                <w:szCs w:val="28"/>
                <w:u w:val="none"/>
              </w:rPr>
            </w:pPr>
          </w:p>
        </w:tc>
      </w:tr>
      <w:tr w14:paraId="4827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183" w:type="dxa"/>
            <w:vMerge w:val="continue"/>
            <w:tcBorders>
              <w:left w:val="single" w:color="000000" w:sz="4" w:space="0"/>
              <w:right w:val="single" w:color="000000" w:sz="4" w:space="0"/>
            </w:tcBorders>
            <w:shd w:val="clear" w:color="auto" w:fill="auto"/>
            <w:vAlign w:val="center"/>
          </w:tcPr>
          <w:p w14:paraId="343B9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浅蓝色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0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7955.00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0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9E9">
            <w:pPr>
              <w:jc w:val="center"/>
              <w:rPr>
                <w:rFonts w:hint="eastAsia" w:asciiTheme="minorEastAsia" w:hAnsiTheme="minorEastAsia" w:eastAsiaTheme="minorEastAsia" w:cstheme="minorEastAsia"/>
                <w:i w:val="0"/>
                <w:iCs w:val="0"/>
                <w:color w:val="000000"/>
                <w:sz w:val="28"/>
                <w:szCs w:val="28"/>
                <w:u w:val="none"/>
              </w:rPr>
            </w:pPr>
          </w:p>
        </w:tc>
      </w:tr>
      <w:tr w14:paraId="1750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183" w:type="dxa"/>
            <w:vMerge w:val="continue"/>
            <w:tcBorders>
              <w:left w:val="single" w:color="000000" w:sz="4" w:space="0"/>
              <w:right w:val="single" w:color="000000" w:sz="4" w:space="0"/>
            </w:tcBorders>
            <w:shd w:val="clear" w:color="auto" w:fill="auto"/>
            <w:vAlign w:val="center"/>
          </w:tcPr>
          <w:p w14:paraId="2A4DE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3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灰色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4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7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5079.00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2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D1F">
            <w:pPr>
              <w:jc w:val="center"/>
              <w:rPr>
                <w:rFonts w:hint="eastAsia" w:asciiTheme="minorEastAsia" w:hAnsiTheme="minorEastAsia" w:eastAsiaTheme="minorEastAsia" w:cstheme="minorEastAsia"/>
                <w:i w:val="0"/>
                <w:iCs w:val="0"/>
                <w:color w:val="000000"/>
                <w:sz w:val="28"/>
                <w:szCs w:val="28"/>
                <w:u w:val="none"/>
              </w:rPr>
            </w:pPr>
          </w:p>
        </w:tc>
      </w:tr>
      <w:tr w14:paraId="210B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4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183" w:type="dxa"/>
            <w:vMerge w:val="continue"/>
            <w:tcBorders>
              <w:left w:val="single" w:color="000000" w:sz="4" w:space="0"/>
              <w:right w:val="single" w:color="000000" w:sz="4" w:space="0"/>
            </w:tcBorders>
            <w:shd w:val="clear" w:color="auto" w:fill="auto"/>
            <w:vAlign w:val="center"/>
          </w:tcPr>
          <w:p w14:paraId="74A43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土黄色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B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7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D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5035.00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777A">
            <w:pPr>
              <w:jc w:val="center"/>
              <w:rPr>
                <w:rFonts w:hint="eastAsia" w:asciiTheme="minorEastAsia" w:hAnsiTheme="minorEastAsia" w:eastAsiaTheme="minorEastAsia" w:cstheme="minorEastAsia"/>
                <w:i w:val="0"/>
                <w:iCs w:val="0"/>
                <w:color w:val="000000"/>
                <w:sz w:val="28"/>
                <w:szCs w:val="28"/>
                <w:u w:val="none"/>
              </w:rPr>
            </w:pPr>
          </w:p>
        </w:tc>
      </w:tr>
      <w:tr w14:paraId="2D3C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7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183" w:type="dxa"/>
            <w:vMerge w:val="continue"/>
            <w:tcBorders>
              <w:left w:val="single" w:color="000000" w:sz="4" w:space="0"/>
              <w:bottom w:val="single" w:color="000000" w:sz="4" w:space="0"/>
              <w:right w:val="single" w:color="000000" w:sz="4" w:space="0"/>
            </w:tcBorders>
            <w:shd w:val="clear" w:color="auto" w:fill="auto"/>
            <w:vAlign w:val="center"/>
          </w:tcPr>
          <w:p w14:paraId="40C2B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铬黄色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E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B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B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10575.00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C94D">
            <w:pPr>
              <w:jc w:val="center"/>
              <w:rPr>
                <w:rFonts w:hint="eastAsia" w:asciiTheme="minorEastAsia" w:hAnsiTheme="minorEastAsia" w:eastAsiaTheme="minorEastAsia" w:cstheme="minorEastAsia"/>
                <w:i w:val="0"/>
                <w:iCs w:val="0"/>
                <w:color w:val="000000"/>
                <w:sz w:val="28"/>
                <w:szCs w:val="28"/>
                <w:u w:val="none"/>
              </w:rPr>
            </w:pPr>
          </w:p>
        </w:tc>
      </w:tr>
    </w:tbl>
    <w:p w14:paraId="6D95C4EE">
      <w:pPr>
        <w:jc w:val="both"/>
        <w:rPr>
          <w:rFonts w:hint="default" w:ascii="宋体" w:hAnsi="宋体"/>
          <w:b/>
          <w:bCs/>
          <w:lang w:val="en-US" w:eastAsia="zh-CN"/>
        </w:rPr>
      </w:pPr>
      <w:r>
        <w:rPr>
          <w:rFonts w:hint="eastAsia" w:ascii="宋体" w:hAnsi="宋体"/>
          <w:b/>
          <w:bCs/>
          <w:lang w:val="en-US" w:eastAsia="zh-CN"/>
        </w:rPr>
        <w:t>技术参数如下：</w:t>
      </w:r>
    </w:p>
    <w:p w14:paraId="2056FFFA">
      <w:pPr>
        <w:rPr>
          <w:rFonts w:hint="eastAsia"/>
          <w:sz w:val="32"/>
          <w:szCs w:val="32"/>
        </w:rPr>
      </w:pPr>
      <w:r>
        <w:drawing>
          <wp:anchor distT="0" distB="0" distL="114300" distR="114300" simplePos="0" relativeHeight="251659264" behindDoc="1" locked="0" layoutInCell="1" allowOverlap="1">
            <wp:simplePos x="0" y="0"/>
            <wp:positionH relativeFrom="column">
              <wp:posOffset>-125730</wp:posOffset>
            </wp:positionH>
            <wp:positionV relativeFrom="paragraph">
              <wp:posOffset>0</wp:posOffset>
            </wp:positionV>
            <wp:extent cx="6132830" cy="1853565"/>
            <wp:effectExtent l="0" t="0" r="127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32830" cy="1853565"/>
                    </a:xfrm>
                    <a:prstGeom prst="rect">
                      <a:avLst/>
                    </a:prstGeom>
                    <a:noFill/>
                    <a:ln>
                      <a:noFill/>
                    </a:ln>
                  </pic:spPr>
                </pic:pic>
              </a:graphicData>
            </a:graphic>
          </wp:anchor>
        </w:drawing>
      </w:r>
    </w:p>
    <w:p w14:paraId="3FEEEFC8">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4"/>
        <w:rPr>
          <w:rFonts w:hint="eastAsia" w:cs="宋体"/>
          <w:b/>
          <w:bCs/>
          <w:sz w:val="28"/>
          <w:szCs w:val="28"/>
          <w:lang w:val="en-US" w:eastAsia="zh-CN"/>
        </w:rPr>
      </w:pPr>
    </w:p>
    <w:p w14:paraId="57353C4D">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28489A9D">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426DDE31">
      <w:pPr>
        <w:pStyle w:val="7"/>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2"/>
      </w:pPr>
    </w:p>
    <w:p w14:paraId="6BCF95AF">
      <w:pPr>
        <w:pStyle w:val="3"/>
      </w:pPr>
    </w:p>
    <w:p w14:paraId="46C23A99">
      <w:pPr>
        <w:pStyle w:val="8"/>
      </w:pPr>
    </w:p>
    <w:p w14:paraId="5C4BE5AC">
      <w:pPr>
        <w:pStyle w:val="8"/>
      </w:pPr>
    </w:p>
    <w:p w14:paraId="40C257AC">
      <w:pPr>
        <w:pStyle w:val="8"/>
      </w:pPr>
    </w:p>
    <w:p w14:paraId="4F8385E6">
      <w:pPr>
        <w:pStyle w:val="8"/>
      </w:pPr>
    </w:p>
    <w:p w14:paraId="0ADB8993">
      <w:pPr>
        <w:pStyle w:val="8"/>
      </w:pPr>
    </w:p>
    <w:p w14:paraId="620FFB3B">
      <w:pPr>
        <w:pStyle w:val="8"/>
      </w:pPr>
    </w:p>
    <w:p w14:paraId="35307A71">
      <w:pPr>
        <w:pStyle w:val="8"/>
      </w:pPr>
    </w:p>
    <w:p w14:paraId="293F09EA">
      <w:pPr>
        <w:pStyle w:val="8"/>
      </w:pPr>
    </w:p>
    <w:p w14:paraId="09EA685E">
      <w:pPr>
        <w:pStyle w:val="8"/>
      </w:pPr>
    </w:p>
    <w:p w14:paraId="40F1A847">
      <w:pPr>
        <w:pStyle w:val="8"/>
      </w:pPr>
    </w:p>
    <w:p w14:paraId="4C7E9E97">
      <w:pPr>
        <w:pStyle w:val="8"/>
      </w:pPr>
    </w:p>
    <w:p w14:paraId="3DA38D59">
      <w:pPr>
        <w:pStyle w:val="8"/>
      </w:pPr>
    </w:p>
    <w:p w14:paraId="1E6B1E3C">
      <w:pPr>
        <w:pStyle w:val="8"/>
      </w:pPr>
    </w:p>
    <w:p w14:paraId="5DE5AFBC">
      <w:pPr>
        <w:pStyle w:val="8"/>
      </w:pPr>
    </w:p>
    <w:p w14:paraId="7A8AA340">
      <w:pPr>
        <w:pStyle w:val="8"/>
      </w:pPr>
    </w:p>
    <w:p w14:paraId="19CB8FFA">
      <w:pPr>
        <w:pStyle w:val="8"/>
      </w:pPr>
    </w:p>
    <w:p w14:paraId="1BC670B1">
      <w:pPr>
        <w:pStyle w:val="8"/>
      </w:pPr>
    </w:p>
    <w:p w14:paraId="76D73C1E">
      <w:pPr>
        <w:pStyle w:val="8"/>
      </w:pPr>
    </w:p>
    <w:p w14:paraId="2786F502">
      <w:pPr>
        <w:pStyle w:val="8"/>
      </w:pPr>
    </w:p>
    <w:p w14:paraId="3E8D51B2">
      <w:pPr>
        <w:pStyle w:val="8"/>
      </w:pPr>
    </w:p>
    <w:p w14:paraId="012FB655">
      <w:pPr>
        <w:pStyle w:val="8"/>
      </w:pPr>
    </w:p>
    <w:p w14:paraId="07F6201E">
      <w:pPr>
        <w:pStyle w:val="8"/>
      </w:pPr>
    </w:p>
    <w:p w14:paraId="6A3063DA">
      <w:pPr>
        <w:pStyle w:val="8"/>
      </w:pPr>
    </w:p>
    <w:p w14:paraId="6D73BC1F">
      <w:pPr>
        <w:pStyle w:val="8"/>
      </w:pPr>
    </w:p>
    <w:p w14:paraId="48B17EDD">
      <w:pPr>
        <w:pStyle w:val="8"/>
      </w:pPr>
    </w:p>
    <w:p w14:paraId="0BE70F2C">
      <w:pPr>
        <w:pStyle w:val="8"/>
      </w:pPr>
    </w:p>
    <w:p w14:paraId="471DDD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5"/>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EFA1C0-60F8-4C0C-AEE6-A8EC07FC10A9}"/>
  </w:font>
  <w:font w:name="黑体">
    <w:panose1 w:val="02010609060101010101"/>
    <w:charset w:val="86"/>
    <w:family w:val="auto"/>
    <w:pitch w:val="default"/>
    <w:sig w:usb0="800002BF" w:usb1="38CF7CFA" w:usb2="00000016" w:usb3="00000000" w:csb0="00040001" w:csb1="00000000"/>
    <w:embedRegular r:id="rId2" w:fontKey="{EC2C9015-7F4F-46E0-AD79-6664397B95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01CB110-A5E2-4F8A-8A2C-732636DF2007}"/>
  </w:font>
  <w:font w:name="����">
    <w:altName w:val="Times New Roman"/>
    <w:panose1 w:val="00000000000000000000"/>
    <w:charset w:val="00"/>
    <w:family w:val="roman"/>
    <w:pitch w:val="default"/>
    <w:sig w:usb0="00000000" w:usb1="00000000" w:usb2="00000000" w:usb3="00000000" w:csb0="00040001" w:csb1="00000000"/>
    <w:embedRegular r:id="rId4" w:fontKey="{2175AD19-DEF5-482B-8855-286A6938C793}"/>
  </w:font>
  <w:font w:name="华文仿宋">
    <w:panose1 w:val="02010600040101010101"/>
    <w:charset w:val="86"/>
    <w:family w:val="auto"/>
    <w:pitch w:val="default"/>
    <w:sig w:usb0="00000287" w:usb1="080F0000" w:usb2="00000000" w:usb3="00000000" w:csb0="0004009F" w:csb1="DFD70000"/>
    <w:embedRegular r:id="rId5" w:fontKey="{6AA5A747-FDEE-4948-BB14-546339789B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872B23"/>
    <w:rsid w:val="27952750"/>
    <w:rsid w:val="27CC5A46"/>
    <w:rsid w:val="282E5A71"/>
    <w:rsid w:val="283F6A16"/>
    <w:rsid w:val="2929213F"/>
    <w:rsid w:val="293B10D5"/>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4C1FE6"/>
    <w:rsid w:val="4AA30431"/>
    <w:rsid w:val="4AF77A1D"/>
    <w:rsid w:val="4B1F21AD"/>
    <w:rsid w:val="4BBB64B3"/>
    <w:rsid w:val="4BCD7E5B"/>
    <w:rsid w:val="4BED5C15"/>
    <w:rsid w:val="4C3954F1"/>
    <w:rsid w:val="4C431ECB"/>
    <w:rsid w:val="4C537ABE"/>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269D6"/>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AF28A5"/>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5"/>
    <w:next w:val="7"/>
    <w:qFormat/>
    <w:uiPriority w:val="9"/>
    <w:pPr>
      <w:spacing w:beforeAutospacing="1" w:afterAutospacing="1"/>
      <w:jc w:val="left"/>
      <w:outlineLvl w:val="0"/>
    </w:pPr>
    <w:rPr>
      <w:rFonts w:ascii="宋体"/>
      <w:b/>
      <w:kern w:val="44"/>
      <w:sz w:val="48"/>
      <w:szCs w:val="20"/>
    </w:rPr>
  </w:style>
  <w:style w:type="paragraph" w:styleId="7">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utoSpaceDE w:val="0"/>
      <w:autoSpaceDN w:val="0"/>
      <w:adjustRightInd w:val="0"/>
      <w:jc w:val="left"/>
    </w:pPr>
    <w:rPr>
      <w:kern w:val="0"/>
    </w:rPr>
  </w:style>
  <w:style w:type="paragraph" w:styleId="3">
    <w:name w:val="Body Text Indent"/>
    <w:basedOn w:val="1"/>
    <w:next w:val="1"/>
    <w:qFormat/>
    <w:uiPriority w:val="0"/>
    <w:pPr>
      <w:ind w:firstLine="600"/>
    </w:pPr>
    <w:rPr>
      <w:rFonts w:ascii="Times New Roman" w:hAnsi="Times New Roman"/>
      <w:kern w:val="0"/>
      <w:sz w:val="20"/>
      <w:szCs w:val="20"/>
    </w:rPr>
  </w:style>
  <w:style w:type="paragraph" w:styleId="4">
    <w:name w:val="Body Text First Indent"/>
    <w:basedOn w:val="5"/>
    <w:next w:val="2"/>
    <w:qFormat/>
    <w:uiPriority w:val="99"/>
    <w:pPr>
      <w:spacing w:line="360" w:lineRule="auto"/>
      <w:ind w:firstLine="420" w:firstLineChars="100"/>
    </w:pPr>
    <w:rPr>
      <w:rFonts w:hAnsi="Times New Roman"/>
      <w:szCs w:val="21"/>
    </w:rPr>
  </w:style>
  <w:style w:type="paragraph" w:styleId="5">
    <w:name w:val="Body Text"/>
    <w:basedOn w:val="1"/>
    <w:next w:val="1"/>
    <w:qFormat/>
    <w:uiPriority w:val="0"/>
    <w:rPr>
      <w:sz w:val="30"/>
    </w:rPr>
  </w:style>
  <w:style w:type="paragraph" w:styleId="8">
    <w:name w:val="Normal Indent"/>
    <w:basedOn w:val="1"/>
    <w:qFormat/>
    <w:uiPriority w:val="0"/>
    <w:pPr>
      <w:ind w:firstLine="420"/>
    </w:pPr>
    <w:rPr>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3199</Words>
  <Characters>3538</Characters>
  <Lines>0</Lines>
  <Paragraphs>0</Paragraphs>
  <TotalTime>1</TotalTime>
  <ScaleCrop>false</ScaleCrop>
  <LinksUpToDate>false</LinksUpToDate>
  <CharactersWithSpaces>3836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