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D529">
      <w:pPr>
        <w:pStyle w:val="14"/>
        <w:jc w:val="center"/>
        <w:rPr>
          <w:rFonts w:hint="eastAsia"/>
          <w:b/>
          <w:sz w:val="36"/>
          <w:szCs w:val="32"/>
          <w:highlight w:val="none"/>
          <w:lang w:val="en-US" w:eastAsia="zh-CN"/>
        </w:rPr>
      </w:pPr>
      <w:r>
        <w:rPr>
          <w:rFonts w:hint="eastAsia"/>
          <w:b/>
          <w:sz w:val="36"/>
          <w:szCs w:val="32"/>
          <w:highlight w:val="none"/>
          <w:lang w:val="en-US" w:eastAsia="zh-CN"/>
        </w:rPr>
        <w:t>第6包第1期机制砂采购项目</w:t>
      </w:r>
    </w:p>
    <w:p w14:paraId="40522D00">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2239961">
      <w:pPr>
        <w:pStyle w:val="14"/>
        <w:jc w:val="center"/>
        <w:rPr>
          <w:rFonts w:hint="eastAsia" w:ascii="宋体" w:hAnsi="宋体" w:cs="宋体"/>
          <w:b/>
          <w:sz w:val="32"/>
          <w:szCs w:val="28"/>
          <w:highlight w:val="none"/>
          <w:lang w:eastAsia="zh-CN"/>
        </w:rPr>
      </w:pPr>
    </w:p>
    <w:p w14:paraId="6EF1D43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第6包段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7A525A8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第6包第1期机制砂采购项目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A7DB495">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2024100013</w:t>
      </w:r>
      <w:r>
        <w:rPr>
          <w:rFonts w:hint="eastAsia"/>
          <w:b/>
          <w:sz w:val="28"/>
          <w:szCs w:val="28"/>
          <w:highlight w:val="none"/>
        </w:rPr>
        <w:t>）号</w:t>
      </w:r>
    </w:p>
    <w:p w14:paraId="3B56E5CA">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项目编号：HBHB-2024-432</w:t>
      </w:r>
    </w:p>
    <w:p w14:paraId="0E05E0B7">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第6包第1期机制砂采购项目</w:t>
      </w:r>
    </w:p>
    <w:p w14:paraId="6D46440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31D2E7B1">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lang w:val="en-US" w:eastAsia="zh-CN"/>
        </w:rPr>
        <w:t>机制砂69.57元/吨</w:t>
      </w:r>
    </w:p>
    <w:p w14:paraId="1689EE10">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采购内容：机制砂</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质量标准：GB/T 14684-2011《建设用砂》</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p>
    <w:p w14:paraId="2B2E345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6包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3F8D95AB">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8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839"/>
        <w:gridCol w:w="1611"/>
        <w:gridCol w:w="956"/>
        <w:gridCol w:w="1106"/>
        <w:gridCol w:w="1600"/>
        <w:gridCol w:w="1667"/>
      </w:tblGrid>
      <w:tr w14:paraId="6D56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38B75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暂估</w:t>
            </w:r>
            <w:r>
              <w:rPr>
                <w:rFonts w:hint="eastAsia" w:ascii="宋体" w:hAnsi="宋体" w:eastAsia="宋体" w:cs="宋体"/>
                <w:i w:val="0"/>
                <w:iCs w:val="0"/>
                <w:color w:val="000000"/>
                <w:kern w:val="0"/>
                <w:sz w:val="22"/>
                <w:szCs w:val="22"/>
                <w:u w:val="none"/>
                <w:lang w:val="en-US" w:eastAsia="zh-CN" w:bidi="ar"/>
              </w:rPr>
              <w:t>数量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6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p w14:paraId="2AC916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B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1FFF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B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492">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砂</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5E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机制砂</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（水洗0-3mm）</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8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BC85">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90000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EF21">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 xml:space="preserve">69.57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5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84800E3">
      <w:pPr>
        <w:jc w:val="center"/>
        <w:rPr>
          <w:rFonts w:hint="eastAsia" w:ascii="宋体" w:hAnsi="宋体" w:cs="宋体"/>
          <w:sz w:val="28"/>
          <w:szCs w:val="28"/>
        </w:rPr>
      </w:pPr>
    </w:p>
    <w:p w14:paraId="14B35063">
      <w:pPr>
        <w:jc w:val="center"/>
        <w:rPr>
          <w:rFonts w:hint="default" w:eastAsia="宋体"/>
          <w:sz w:val="32"/>
          <w:szCs w:val="32"/>
          <w:lang w:val="en-US" w:eastAsia="zh-CN"/>
        </w:rPr>
      </w:pPr>
      <w:r>
        <w:rPr>
          <w:rFonts w:hint="eastAsia" w:ascii="宋体" w:hAnsi="宋体" w:cs="宋体"/>
          <w:sz w:val="28"/>
          <w:szCs w:val="28"/>
        </w:rPr>
        <w:t xml:space="preserve"> </w:t>
      </w:r>
      <w:r>
        <w:rPr>
          <w:rFonts w:hint="eastAsia"/>
          <w:sz w:val="32"/>
          <w:szCs w:val="32"/>
          <w:lang w:val="en-US" w:eastAsia="zh-CN"/>
        </w:rPr>
        <w:t>技术参数</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4861D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17" w:type="dxa"/>
            <w:noWrap w:val="0"/>
            <w:vAlign w:val="center"/>
          </w:tcPr>
          <w:p w14:paraId="4C6C4391">
            <w:pPr>
              <w:jc w:val="center"/>
              <w:rPr>
                <w:rFonts w:hint="eastAsia"/>
              </w:rPr>
            </w:pPr>
            <w:r>
              <w:rPr>
                <w:rFonts w:hint="eastAsia"/>
              </w:rPr>
              <w:t>项目</w:t>
            </w:r>
          </w:p>
        </w:tc>
        <w:tc>
          <w:tcPr>
            <w:tcW w:w="1217" w:type="dxa"/>
            <w:noWrap w:val="0"/>
            <w:vAlign w:val="center"/>
          </w:tcPr>
          <w:p w14:paraId="51081027">
            <w:pPr>
              <w:pStyle w:val="17"/>
              <w:spacing w:line="305" w:lineRule="atLeast"/>
              <w:jc w:val="center"/>
              <w:textAlignment w:val="center"/>
              <w:rPr>
                <w:color w:val="000000"/>
                <w:sz w:val="18"/>
                <w:szCs w:val="18"/>
              </w:rPr>
            </w:pPr>
            <w:r>
              <w:rPr>
                <w:rFonts w:ascii="宋体" w:hAnsi="宋体"/>
                <w:color w:val="000000"/>
                <w:sz w:val="18"/>
                <w:szCs w:val="18"/>
              </w:rPr>
              <w:t>细度模量</w:t>
            </w:r>
          </w:p>
        </w:tc>
        <w:tc>
          <w:tcPr>
            <w:tcW w:w="1217" w:type="dxa"/>
            <w:noWrap w:val="0"/>
            <w:vAlign w:val="center"/>
          </w:tcPr>
          <w:p w14:paraId="45E6EC38">
            <w:pPr>
              <w:pStyle w:val="17"/>
              <w:spacing w:line="305" w:lineRule="atLeast"/>
              <w:jc w:val="center"/>
              <w:textAlignment w:val="center"/>
              <w:rPr>
                <w:color w:val="000000"/>
                <w:sz w:val="18"/>
                <w:szCs w:val="18"/>
              </w:rPr>
            </w:pPr>
            <w:r>
              <w:rPr>
                <w:color w:val="000000"/>
                <w:sz w:val="18"/>
                <w:szCs w:val="18"/>
              </w:rPr>
              <w:t>300μm</w:t>
            </w:r>
            <w:r>
              <w:rPr>
                <w:rFonts w:ascii="宋体" w:hAnsi="宋体"/>
                <w:color w:val="000000"/>
                <w:sz w:val="18"/>
                <w:szCs w:val="18"/>
              </w:rPr>
              <w:t>筛通过百分比(%)</w:t>
            </w:r>
          </w:p>
        </w:tc>
        <w:tc>
          <w:tcPr>
            <w:tcW w:w="1217" w:type="dxa"/>
            <w:noWrap w:val="0"/>
            <w:vAlign w:val="center"/>
          </w:tcPr>
          <w:p w14:paraId="42802342">
            <w:pPr>
              <w:pStyle w:val="17"/>
              <w:spacing w:line="305" w:lineRule="atLeast"/>
              <w:jc w:val="center"/>
              <w:textAlignment w:val="center"/>
              <w:rPr>
                <w:color w:val="000000"/>
                <w:sz w:val="18"/>
                <w:szCs w:val="18"/>
              </w:rPr>
            </w:pPr>
            <w:r>
              <w:rPr>
                <w:rFonts w:ascii="宋体" w:hAnsi="宋体"/>
                <w:color w:val="000000"/>
                <w:sz w:val="18"/>
                <w:szCs w:val="18"/>
              </w:rPr>
              <w:t>含泥量</w:t>
            </w:r>
            <w:r>
              <w:rPr>
                <w:color w:val="000000"/>
                <w:sz w:val="18"/>
                <w:szCs w:val="18"/>
              </w:rPr>
              <w:t>(%)</w:t>
            </w:r>
          </w:p>
        </w:tc>
        <w:tc>
          <w:tcPr>
            <w:tcW w:w="1218" w:type="dxa"/>
            <w:noWrap w:val="0"/>
            <w:vAlign w:val="center"/>
          </w:tcPr>
          <w:p w14:paraId="0D5EFA80">
            <w:pPr>
              <w:pStyle w:val="17"/>
              <w:spacing w:line="305" w:lineRule="atLeast"/>
              <w:jc w:val="center"/>
              <w:textAlignment w:val="center"/>
              <w:rPr>
                <w:color w:val="000000"/>
                <w:sz w:val="18"/>
                <w:szCs w:val="18"/>
              </w:rPr>
            </w:pPr>
            <w:r>
              <w:rPr>
                <w:rFonts w:ascii="宋体" w:hAnsi="宋体"/>
                <w:color w:val="000000"/>
                <w:sz w:val="18"/>
                <w:szCs w:val="18"/>
              </w:rPr>
              <w:t>粘土块含量(%)</w:t>
            </w:r>
          </w:p>
        </w:tc>
        <w:tc>
          <w:tcPr>
            <w:tcW w:w="1218" w:type="dxa"/>
            <w:noWrap w:val="0"/>
            <w:vAlign w:val="center"/>
          </w:tcPr>
          <w:p w14:paraId="14F85164">
            <w:pPr>
              <w:pStyle w:val="17"/>
              <w:spacing w:line="305" w:lineRule="atLeast"/>
              <w:jc w:val="center"/>
              <w:textAlignment w:val="center"/>
              <w:rPr>
                <w:color w:val="000000"/>
                <w:sz w:val="18"/>
                <w:szCs w:val="18"/>
              </w:rPr>
            </w:pPr>
            <w:r>
              <w:rPr>
                <w:rFonts w:ascii="宋体" w:hAnsi="宋体"/>
                <w:color w:val="000000"/>
                <w:sz w:val="18"/>
                <w:szCs w:val="18"/>
              </w:rPr>
              <w:t>松散密度</w:t>
            </w:r>
            <w:r>
              <w:rPr>
                <w:color w:val="000000"/>
                <w:sz w:val="18"/>
                <w:szCs w:val="18"/>
              </w:rPr>
              <w:t>(Kg/cm</w:t>
            </w:r>
            <w:r>
              <w:rPr>
                <w:color w:val="000000"/>
                <w:sz w:val="18"/>
                <w:szCs w:val="18"/>
                <w:vertAlign w:val="superscript"/>
              </w:rPr>
              <w:t>3</w:t>
            </w:r>
            <w:r>
              <w:rPr>
                <w:color w:val="000000"/>
                <w:sz w:val="18"/>
                <w:szCs w:val="18"/>
              </w:rPr>
              <w:t>)</w:t>
            </w:r>
          </w:p>
        </w:tc>
        <w:tc>
          <w:tcPr>
            <w:tcW w:w="1218" w:type="dxa"/>
            <w:noWrap w:val="0"/>
            <w:vAlign w:val="center"/>
          </w:tcPr>
          <w:p w14:paraId="711BC763">
            <w:pPr>
              <w:pStyle w:val="17"/>
              <w:spacing w:line="305" w:lineRule="atLeast"/>
              <w:jc w:val="center"/>
              <w:textAlignment w:val="center"/>
              <w:rPr>
                <w:color w:val="000000"/>
                <w:sz w:val="18"/>
                <w:szCs w:val="18"/>
              </w:rPr>
            </w:pPr>
            <w:r>
              <w:rPr>
                <w:rFonts w:ascii="宋体" w:hAnsi="宋体"/>
                <w:color w:val="000000"/>
                <w:sz w:val="18"/>
                <w:szCs w:val="18"/>
              </w:rPr>
              <w:t>表观密度</w:t>
            </w:r>
            <w:r>
              <w:rPr>
                <w:color w:val="000000"/>
                <w:sz w:val="18"/>
                <w:szCs w:val="18"/>
              </w:rPr>
              <w:t>(Kg/cm</w:t>
            </w:r>
            <w:r>
              <w:rPr>
                <w:color w:val="000000"/>
                <w:sz w:val="18"/>
                <w:szCs w:val="18"/>
                <w:vertAlign w:val="superscript"/>
              </w:rPr>
              <w:t>3</w:t>
            </w:r>
            <w:r>
              <w:rPr>
                <w:color w:val="000000"/>
                <w:sz w:val="18"/>
                <w:szCs w:val="18"/>
              </w:rPr>
              <w:t>)</w:t>
            </w:r>
          </w:p>
        </w:tc>
      </w:tr>
      <w:tr w14:paraId="37780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17" w:type="dxa"/>
            <w:noWrap w:val="0"/>
            <w:vAlign w:val="center"/>
          </w:tcPr>
          <w:p w14:paraId="5B37CBDE">
            <w:pPr>
              <w:jc w:val="center"/>
              <w:rPr>
                <w:rFonts w:hint="eastAsia"/>
              </w:rPr>
            </w:pPr>
            <w:r>
              <w:rPr>
                <w:rFonts w:hint="eastAsia"/>
              </w:rPr>
              <w:t>指标</w:t>
            </w:r>
          </w:p>
        </w:tc>
        <w:tc>
          <w:tcPr>
            <w:tcW w:w="1217" w:type="dxa"/>
            <w:noWrap w:val="0"/>
            <w:vAlign w:val="center"/>
          </w:tcPr>
          <w:p w14:paraId="50C73475">
            <w:pPr>
              <w:pStyle w:val="17"/>
              <w:spacing w:line="305" w:lineRule="atLeast"/>
              <w:jc w:val="center"/>
              <w:textAlignment w:val="center"/>
              <w:rPr>
                <w:color w:val="000000"/>
                <w:sz w:val="18"/>
                <w:szCs w:val="18"/>
              </w:rPr>
            </w:pPr>
            <w:r>
              <w:rPr>
                <w:color w:val="000000"/>
                <w:sz w:val="18"/>
                <w:szCs w:val="18"/>
              </w:rPr>
              <w:t>2.3~3.0</w:t>
            </w:r>
          </w:p>
        </w:tc>
        <w:tc>
          <w:tcPr>
            <w:tcW w:w="1217" w:type="dxa"/>
            <w:noWrap w:val="0"/>
            <w:vAlign w:val="center"/>
          </w:tcPr>
          <w:p w14:paraId="3BBA8840">
            <w:pPr>
              <w:pStyle w:val="17"/>
              <w:spacing w:line="305" w:lineRule="atLeast"/>
              <w:jc w:val="center"/>
              <w:textAlignment w:val="center"/>
              <w:rPr>
                <w:color w:val="000000"/>
                <w:sz w:val="18"/>
                <w:szCs w:val="18"/>
              </w:rPr>
            </w:pPr>
            <w:r>
              <w:rPr>
                <w:rFonts w:hint="eastAsia"/>
              </w:rPr>
              <w:t>≥</w:t>
            </w:r>
            <w:r>
              <w:rPr>
                <w:color w:val="000000"/>
                <w:sz w:val="18"/>
                <w:szCs w:val="18"/>
              </w:rPr>
              <w:t>15</w:t>
            </w:r>
          </w:p>
        </w:tc>
        <w:tc>
          <w:tcPr>
            <w:tcW w:w="1217" w:type="dxa"/>
            <w:noWrap w:val="0"/>
            <w:vAlign w:val="center"/>
          </w:tcPr>
          <w:p w14:paraId="6D1CCB3B">
            <w:pPr>
              <w:pStyle w:val="17"/>
              <w:spacing w:line="305" w:lineRule="atLeast"/>
              <w:jc w:val="center"/>
              <w:textAlignment w:val="center"/>
              <w:rPr>
                <w:color w:val="000000"/>
                <w:sz w:val="18"/>
                <w:szCs w:val="18"/>
              </w:rPr>
            </w:pPr>
            <w:r>
              <w:rPr>
                <w:rFonts w:hint="eastAsia"/>
              </w:rPr>
              <w:t>≤</w:t>
            </w:r>
            <w:r>
              <w:rPr>
                <w:rFonts w:ascii="宋体" w:hAnsi="宋体"/>
                <w:color w:val="000000"/>
                <w:sz w:val="18"/>
                <w:szCs w:val="18"/>
              </w:rPr>
              <w:t>3.0</w:t>
            </w:r>
          </w:p>
        </w:tc>
        <w:tc>
          <w:tcPr>
            <w:tcW w:w="1218" w:type="dxa"/>
            <w:noWrap w:val="0"/>
            <w:vAlign w:val="center"/>
          </w:tcPr>
          <w:p w14:paraId="18097BD2">
            <w:pPr>
              <w:pStyle w:val="17"/>
              <w:spacing w:line="305" w:lineRule="atLeast"/>
              <w:jc w:val="center"/>
              <w:textAlignment w:val="center"/>
              <w:rPr>
                <w:color w:val="000000"/>
                <w:sz w:val="18"/>
                <w:szCs w:val="18"/>
              </w:rPr>
            </w:pPr>
            <w:r>
              <w:rPr>
                <w:rFonts w:hint="eastAsia"/>
              </w:rPr>
              <w:t>≤</w:t>
            </w:r>
            <w:r>
              <w:rPr>
                <w:rFonts w:ascii="宋体" w:hAnsi="宋体"/>
                <w:color w:val="000000"/>
                <w:sz w:val="18"/>
                <w:szCs w:val="18"/>
              </w:rPr>
              <w:t>1.0</w:t>
            </w:r>
          </w:p>
        </w:tc>
        <w:tc>
          <w:tcPr>
            <w:tcW w:w="1218" w:type="dxa"/>
            <w:noWrap w:val="0"/>
            <w:vAlign w:val="center"/>
          </w:tcPr>
          <w:p w14:paraId="661E9243">
            <w:pPr>
              <w:pStyle w:val="17"/>
              <w:spacing w:line="305" w:lineRule="atLeast"/>
              <w:jc w:val="center"/>
              <w:textAlignment w:val="center"/>
              <w:rPr>
                <w:rFonts w:hint="default" w:eastAsia="宋体"/>
                <w:color w:val="000000"/>
                <w:sz w:val="18"/>
                <w:szCs w:val="18"/>
                <w:lang w:val="en-US" w:eastAsia="zh-CN"/>
              </w:rPr>
            </w:pPr>
            <w:r>
              <w:rPr>
                <w:rFonts w:hint="eastAsia"/>
              </w:rPr>
              <w:t>≥</w:t>
            </w:r>
            <w:r>
              <w:rPr>
                <w:rFonts w:ascii="宋体" w:hAnsi="宋体"/>
                <w:color w:val="000000"/>
                <w:sz w:val="18"/>
                <w:szCs w:val="18"/>
              </w:rPr>
              <w:t>1</w:t>
            </w:r>
            <w:r>
              <w:rPr>
                <w:rFonts w:hint="eastAsia" w:ascii="宋体" w:hAnsi="宋体"/>
                <w:color w:val="000000"/>
                <w:sz w:val="18"/>
                <w:szCs w:val="18"/>
                <w:lang w:val="en-US" w:eastAsia="zh-CN"/>
              </w:rPr>
              <w:t>400</w:t>
            </w:r>
          </w:p>
        </w:tc>
        <w:tc>
          <w:tcPr>
            <w:tcW w:w="1218" w:type="dxa"/>
            <w:noWrap w:val="0"/>
            <w:vAlign w:val="center"/>
          </w:tcPr>
          <w:p w14:paraId="62429C10">
            <w:pPr>
              <w:pStyle w:val="17"/>
              <w:spacing w:line="305" w:lineRule="atLeast"/>
              <w:jc w:val="center"/>
              <w:textAlignment w:val="center"/>
              <w:rPr>
                <w:color w:val="000000"/>
                <w:sz w:val="18"/>
                <w:szCs w:val="18"/>
              </w:rPr>
            </w:pPr>
            <w:r>
              <w:rPr>
                <w:rFonts w:hint="eastAsia"/>
              </w:rPr>
              <w:t>≥</w:t>
            </w:r>
            <w:r>
              <w:rPr>
                <w:rFonts w:ascii="宋体" w:hAnsi="宋体"/>
                <w:color w:val="000000"/>
                <w:sz w:val="18"/>
                <w:szCs w:val="18"/>
              </w:rPr>
              <w:t>2500</w:t>
            </w:r>
          </w:p>
        </w:tc>
      </w:tr>
    </w:tbl>
    <w:p w14:paraId="1A6CEF4F">
      <w:pPr>
        <w:rPr>
          <w:rFonts w:hint="eastAsia"/>
          <w:sz w:val="32"/>
          <w:szCs w:val="32"/>
        </w:rPr>
      </w:pP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3"/>
        <w:rPr>
          <w:rFonts w:hint="eastAsia" w:cs="宋体"/>
          <w:b/>
          <w:bCs/>
          <w:sz w:val="28"/>
          <w:szCs w:val="28"/>
          <w:lang w:val="en-US" w:eastAsia="zh-CN"/>
        </w:rPr>
      </w:pPr>
    </w:p>
    <w:p w14:paraId="47AFE3FA">
      <w:pPr>
        <w:rPr>
          <w:rFonts w:hint="eastAsia"/>
          <w:lang w:val="en-US" w:eastAsia="zh-CN"/>
        </w:rPr>
      </w:pPr>
    </w:p>
    <w:p w14:paraId="00834F3D">
      <w:pPr>
        <w:rPr>
          <w:rFonts w:hint="eastAsia" w:cs="宋体"/>
          <w:b/>
          <w:bCs/>
          <w:sz w:val="28"/>
          <w:szCs w:val="28"/>
          <w:lang w:val="en-US" w:eastAsia="zh-CN"/>
        </w:rPr>
      </w:pPr>
    </w:p>
    <w:p w14:paraId="18CE1AF8">
      <w:pPr>
        <w:pStyle w:val="13"/>
        <w:rPr>
          <w:rFonts w:hint="eastAsia" w:cs="宋体"/>
          <w:b/>
          <w:bCs/>
          <w:sz w:val="28"/>
          <w:szCs w:val="28"/>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08C43B-F78F-495B-BEE3-C9D9DEA2DED6}"/>
  </w:font>
  <w:font w:name="黑体">
    <w:panose1 w:val="02010609060101010101"/>
    <w:charset w:val="86"/>
    <w:family w:val="auto"/>
    <w:pitch w:val="default"/>
    <w:sig w:usb0="800002BF" w:usb1="38CF7CFA" w:usb2="00000016" w:usb3="00000000" w:csb0="00040001" w:csb1="00000000"/>
    <w:embedRegular r:id="rId2" w:fontKey="{C2CD921A-C4DC-401B-93AA-2E98FE6259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8D518DE-BBAE-45E6-A32E-7139705AC485}"/>
  </w:font>
  <w:font w:name="����">
    <w:altName w:val="Times New Roman"/>
    <w:panose1 w:val="00000000000000000000"/>
    <w:charset w:val="00"/>
    <w:family w:val="roman"/>
    <w:pitch w:val="default"/>
    <w:sig w:usb0="00000000" w:usb1="00000000" w:usb2="00000000" w:usb3="00000000" w:csb0="00040001" w:csb1="00000000"/>
    <w:embedRegular r:id="rId4" w:fontKey="{6EB18B51-4901-496E-85F9-CB46DFD77D1B}"/>
  </w:font>
  <w:font w:name="华文仿宋">
    <w:panose1 w:val="02010600040101010101"/>
    <w:charset w:val="86"/>
    <w:family w:val="auto"/>
    <w:pitch w:val="default"/>
    <w:sig w:usb0="00000287" w:usb1="080F0000" w:usb2="00000000" w:usb3="00000000" w:csb0="0004009F" w:csb1="DFD70000"/>
    <w:embedRegular r:id="rId5" w:fontKey="{87766061-9101-432A-B2C1-6C187CD1C980}"/>
  </w:font>
  <w:font w:name="楷体">
    <w:panose1 w:val="02010609060101010101"/>
    <w:charset w:val="86"/>
    <w:family w:val="auto"/>
    <w:pitch w:val="default"/>
    <w:sig w:usb0="800002BF" w:usb1="38CF7CFA" w:usb2="00000016" w:usb3="00000000" w:csb0="00040001" w:csb1="00000000"/>
    <w:embedRegular r:id="rId6" w:fontKey="{F4A4F6C5-EB5D-4FA4-92F5-70BE688759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CF56231"/>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3854B8"/>
    <w:rsid w:val="38BF04A4"/>
    <w:rsid w:val="391F107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7B15A7"/>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4F64E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paragraph" w:customStyle="1" w:styleId="17">
    <w:name w:val="15"/>
    <w:basedOn w:val="1"/>
    <w:qFormat/>
    <w:uiPriority w:val="0"/>
    <w:pPr>
      <w:widowControl/>
      <w:spacing w:before="100" w:beforeAutospacing="1" w:after="100" w:afterAutospacing="1"/>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3111</Words>
  <Characters>3389</Characters>
  <Lines>0</Lines>
  <Paragraphs>0</Paragraphs>
  <TotalTime>7</TotalTime>
  <ScaleCrop>false</ScaleCrop>
  <LinksUpToDate>false</LinksUpToDate>
  <CharactersWithSpaces>3658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