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textAlignment w:val="center"/>
        <w:rPr>
          <w:rFonts w:hint="eastAsia" w:ascii="宋体" w:hAnsi="宋体" w:cs="宋体"/>
          <w:b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1"/>
          <w:szCs w:val="21"/>
          <w:lang w:bidi="ar"/>
        </w:rPr>
        <w:t>附件：</w:t>
      </w:r>
    </w:p>
    <w:tbl>
      <w:tblPr>
        <w:tblStyle w:val="3"/>
        <w:tblW w:w="8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55"/>
        <w:gridCol w:w="1753"/>
        <w:gridCol w:w="1770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表1、材料名称、规格、数量、价格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材料型号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单价限价（元）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单 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沥青AC-5C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沥青AC-10C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沥青AC-13C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沥青AC-16C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沥青AC-20C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沥青AC-25C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沥青ATB-25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5%水稳碎石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6%水稳碎石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C15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C30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C35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C40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C45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C50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备注：以上报价均是含税价；其他价格条款合同中约定，此表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商砼(10-17)单价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含15公里运输，天泵送费每方20元，当次不足50方按1200元计算；地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泵送费用每方20元，当次不足120方按3000元计算；</w:t>
            </w:r>
          </w:p>
        </w:tc>
      </w:tr>
    </w:tbl>
    <w:p>
      <w:pPr>
        <w:pStyle w:val="2"/>
        <w:spacing w:beforeLines="0" w:afterLines="0"/>
        <w:rPr>
          <w:rFonts w:hint="eastAsia" w:eastAsia="微软雅黑"/>
          <w:sz w:val="21"/>
          <w:szCs w:val="24"/>
        </w:rPr>
      </w:pPr>
    </w:p>
    <w:p>
      <w:pPr>
        <w:spacing w:beforeLines="0" w:afterLines="0"/>
        <w:rPr>
          <w:rFonts w:hint="eastAsia"/>
          <w:sz w:val="21"/>
          <w:szCs w:val="24"/>
        </w:rPr>
      </w:pPr>
    </w:p>
    <w:tbl>
      <w:tblPr>
        <w:tblStyle w:val="3"/>
        <w:tblW w:w="814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99"/>
        <w:gridCol w:w="1854"/>
        <w:gridCol w:w="1730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ind w:firstLine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2"/>
                <w:sz w:val="22"/>
                <w:szCs w:val="22"/>
              </w:rPr>
              <w:t>表2、沥青混合料运输单价（元）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0-10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11-25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26-35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吨/公里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0.95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以10公里计算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说明：以上运价为（吨/公里）的运输费用，结算以实际运距为准</w:t>
            </w:r>
          </w:p>
        </w:tc>
      </w:tr>
    </w:tbl>
    <w:p>
      <w:pPr>
        <w:spacing w:beforeLines="0" w:afterLines="0"/>
        <w:rPr>
          <w:rFonts w:hint="eastAsia"/>
          <w:sz w:val="21"/>
          <w:szCs w:val="24"/>
        </w:rPr>
      </w:pPr>
    </w:p>
    <w:p>
      <w:pPr>
        <w:pStyle w:val="2"/>
        <w:spacing w:beforeLines="0" w:afterLines="0"/>
        <w:rPr>
          <w:rFonts w:hint="eastAsia" w:eastAsia="微软雅黑"/>
          <w:sz w:val="21"/>
          <w:szCs w:val="24"/>
        </w:rPr>
      </w:pPr>
    </w:p>
    <w:p>
      <w:pPr>
        <w:spacing w:beforeLines="0" w:afterLines="0"/>
        <w:rPr>
          <w:rFonts w:hint="eastAsia"/>
          <w:sz w:val="21"/>
          <w:szCs w:val="24"/>
        </w:rPr>
      </w:pPr>
    </w:p>
    <w:tbl>
      <w:tblPr>
        <w:tblStyle w:val="3"/>
        <w:tblW w:w="822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05"/>
        <w:gridCol w:w="1861"/>
        <w:gridCol w:w="17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ind w:firstLine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2"/>
                <w:sz w:val="22"/>
                <w:szCs w:val="22"/>
              </w:rPr>
              <w:t>表3、水稳混合料运输单价（元）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0-10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11-25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26-35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吨/公里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0.85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以10公里计算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以实际运距计算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说明：以上运价为（吨/公里）的运输费用，结算以实际运距为准</w:t>
            </w:r>
          </w:p>
        </w:tc>
      </w:tr>
    </w:tbl>
    <w:p>
      <w:pPr>
        <w:spacing w:beforeLines="0" w:afterLines="0"/>
        <w:rPr>
          <w:rFonts w:hint="eastAsia"/>
          <w:sz w:val="21"/>
          <w:szCs w:val="24"/>
        </w:rPr>
      </w:pPr>
    </w:p>
    <w:p>
      <w:pPr>
        <w:spacing w:beforeLines="0" w:afterLines="0"/>
        <w:rPr>
          <w:rFonts w:hint="eastAsia"/>
          <w:sz w:val="21"/>
          <w:szCs w:val="24"/>
        </w:rPr>
      </w:pPr>
    </w:p>
    <w:tbl>
      <w:tblPr>
        <w:tblStyle w:val="3"/>
        <w:tblW w:w="822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484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ind w:firstLine="0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2"/>
                <w:sz w:val="22"/>
                <w:szCs w:val="22"/>
              </w:rPr>
              <w:t>表4、混凝土运输单价（元）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0-15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方/公里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免费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每方每公里加1.5元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以15公里计算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以实际超出运距计算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说明：以上运价为（吨/公里）的运输费用，结算以实际运距为准。水泥混凝土运输车到达现场后，卸料时间超过2小时后按每小时补贴200元。运输方量低于6方或补发方量低于6方每方费用加20元/方。</w:t>
            </w:r>
          </w:p>
        </w:tc>
      </w:tr>
    </w:tbl>
    <w:p>
      <w:pPr>
        <w:numPr>
          <w:ilvl w:val="0"/>
          <w:numId w:val="0"/>
        </w:numPr>
        <w:autoSpaceDE w:val="0"/>
        <w:spacing w:beforeLines="0" w:afterLines="0"/>
        <w:ind w:left="480"/>
        <w:rPr>
          <w:rFonts w:hint="eastAsia" w:ascii="宋体" w:hAnsi="宋体" w:cs="宋体"/>
          <w:b/>
          <w:sz w:val="24"/>
          <w:szCs w:val="24"/>
        </w:rPr>
      </w:pPr>
    </w:p>
    <w:tbl>
      <w:tblPr>
        <w:tblStyle w:val="3"/>
        <w:tblW w:w="826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32"/>
        <w:gridCol w:w="1211"/>
        <w:gridCol w:w="1112"/>
        <w:gridCol w:w="1328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tabs>
                <w:tab w:val="left" w:pos="2874"/>
              </w:tabs>
              <w:adjustRightInd w:val="0"/>
              <w:snapToGrid w:val="0"/>
              <w:spacing w:beforeLines="0" w:afterLines="0"/>
              <w:ind w:firstLine="0" w:firstLineChars="0"/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ab/>
            </w:r>
            <w:r>
              <w:rPr>
                <w:rFonts w:hint="eastAsia" w:hAnsi="宋体" w:cs="宋体"/>
                <w:color w:val="000000"/>
                <w:kern w:val="2"/>
                <w:sz w:val="22"/>
                <w:szCs w:val="22"/>
              </w:rPr>
              <w:t>表5、天泵、地泵泵送单价表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泵机名称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单价（方）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保底台班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台班超4小时后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15公里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超15公里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37-49米天泵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20元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50-59米天泵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20元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60米以上天泵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20元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1200元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地泵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20元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3000元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说明：泵送费用以实际方量或台班为准</w:t>
            </w:r>
          </w:p>
        </w:tc>
      </w:tr>
    </w:tbl>
    <w:p>
      <w:pPr>
        <w:autoSpaceDE w:val="0"/>
        <w:spacing w:beforeLines="0" w:afterLines="0"/>
        <w:rPr>
          <w:rFonts w:hint="eastAsia" w:ascii="宋体" w:hAnsi="宋体" w:cs="宋体"/>
          <w:sz w:val="24"/>
          <w:szCs w:val="24"/>
          <w:shd w:val="clear" w:color="auto" w:fill="FFFFFF"/>
        </w:rPr>
      </w:pPr>
    </w:p>
    <w:p>
      <w:pPr>
        <w:autoSpaceDE w:val="0"/>
        <w:spacing w:beforeLines="0" w:afterLines="0"/>
        <w:rPr>
          <w:rFonts w:hint="eastAsia" w:ascii="宋体" w:hAnsi="宋体" w:cs="宋体"/>
          <w:b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zCs w:val="24"/>
          <w:shd w:val="clear" w:color="auto" w:fill="FFFFFF"/>
        </w:rPr>
        <w:t>备注：</w:t>
      </w:r>
    </w:p>
    <w:p>
      <w:pPr>
        <w:widowControl/>
        <w:spacing w:beforeLines="0" w:afterLines="0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1、改性沥青砼、纤维沥青砼、透水沥青砼及添加剂沥青砼在此单价每吨上浮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40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元，彩色沥青价格为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1100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元/吨；细石混凝土在基础单价上每方加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元，水下混凝土在基础单价上每方加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元，微膨混凝土在基础单位上每方加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元；抗渗P6混凝土在基础单价上每方加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元，抗渗P8混凝土在基础单价上每方加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bidi="ar"/>
        </w:rPr>
        <w:t>40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元；在工程送货期间市场原料价格出现波动，双方可根据实际情况对混凝土单价进行协商调整。</w:t>
      </w:r>
    </w:p>
    <w:p>
      <w:pPr>
        <w:widowControl/>
        <w:spacing w:beforeLines="0" w:afterLines="0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2、本报价单价为含税价（包含材料税率为13%、交通运输税率为9%）。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7184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unhideWhenUsed/>
    <w:qFormat/>
    <w:uiPriority w:val="0"/>
    <w:pPr>
      <w:autoSpaceDE w:val="0"/>
      <w:autoSpaceDN w:val="0"/>
      <w:spacing w:beforeLines="0" w:afterLines="0"/>
      <w:ind w:firstLine="200" w:firstLineChars="200"/>
      <w:jc w:val="both"/>
    </w:pPr>
    <w:rPr>
      <w:rFonts w:hint="eastAsia" w:ascii="宋体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2023-12-13T01:10:33Z</dcterms:created>
  <dc:creator>Administrator</dc:creator>
  <cp:lastModifiedBy>Prince</cp:lastModifiedBy>
  <dcterms:modified xsi:type="dcterms:W3CDTF">2023-12-13T01:10:37Z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D357141240044546BABD863DBD5EBA80_12</vt:lpwstr>
  </property>
</Properties>
</file>